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0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500"/>
      </w:tblGrid>
      <w:tr w:rsidR="00F127F2" w:rsidRPr="00DE7538" w14:paraId="000FE413" w14:textId="017DDED9" w:rsidTr="00F127F2">
        <w:trPr>
          <w:trHeight w:val="317"/>
        </w:trPr>
        <w:tc>
          <w:tcPr>
            <w:tcW w:w="13500" w:type="dxa"/>
            <w:shd w:val="clear" w:color="auto" w:fill="829BAD" w:themeFill="background2"/>
          </w:tcPr>
          <w:p w14:paraId="54DAD34B" w14:textId="1E8869C7" w:rsidR="00F127F2" w:rsidRPr="00DE7538" w:rsidRDefault="00F127F2" w:rsidP="008F6E08">
            <w:pPr>
              <w:pStyle w:val="TableParagraph"/>
              <w:spacing w:before="48" w:line="233" w:lineRule="exact"/>
              <w:ind w:left="90" w:right="181"/>
              <w:rPr>
                <w:rFonts w:asciiTheme="majorHAnsi" w:hAnsiTheme="majorHAnsi"/>
                <w:b/>
                <w:color w:val="FFFFFF" w:themeColor="accent6"/>
                <w:sz w:val="20"/>
              </w:rPr>
            </w:pPr>
            <w:bookmarkStart w:id="0" w:name="_Hlk121741115"/>
            <w:bookmarkStart w:id="1" w:name="_Hlk121741161"/>
            <w:bookmarkStart w:id="2" w:name="_Hlk146835069"/>
            <w:proofErr w:type="spellStart"/>
            <w:r>
              <w:rPr>
                <w:rFonts w:asciiTheme="majorHAnsi" w:hAnsiTheme="majorHAnsi"/>
                <w:b/>
                <w:color w:val="FFFFFF" w:themeColor="accent6"/>
                <w:sz w:val="20"/>
              </w:rPr>
              <w:t>Trascript</w:t>
            </w:r>
            <w:proofErr w:type="spellEnd"/>
          </w:p>
        </w:tc>
      </w:tr>
      <w:bookmarkEnd w:id="2"/>
      <w:tr w:rsidR="00F127F2" w:rsidRPr="00DE7538" w14:paraId="64A9BDDD" w14:textId="69E8C162" w:rsidTr="00F127F2">
        <w:trPr>
          <w:cantSplit/>
          <w:trHeight w:val="1845"/>
        </w:trPr>
        <w:tc>
          <w:tcPr>
            <w:tcW w:w="13500" w:type="dxa"/>
          </w:tcPr>
          <w:p w14:paraId="5C22C2E3" w14:textId="0C5454D4" w:rsidR="00F127F2" w:rsidRPr="00DE7538" w:rsidRDefault="00F127F2" w:rsidP="008F6E08">
            <w:pPr>
              <w:pStyle w:val="TableParagraph"/>
              <w:spacing w:before="48" w:line="276" w:lineRule="auto"/>
              <w:ind w:left="60"/>
              <w:rPr>
                <w:rFonts w:asciiTheme="majorHAnsi" w:hAnsiTheme="majorHAnsi"/>
                <w:b/>
                <w:sz w:val="20"/>
                <w:szCs w:val="20"/>
              </w:rPr>
            </w:pPr>
            <w:r w:rsidRPr="00DE7538">
              <w:rPr>
                <w:rFonts w:asciiTheme="majorHAnsi" w:hAnsiTheme="majorHAnsi"/>
                <w:b/>
                <w:sz w:val="20"/>
                <w:szCs w:val="20"/>
              </w:rPr>
              <w:t>Redefining Care for Breast Cancer Patients:</w:t>
            </w:r>
          </w:p>
          <w:p w14:paraId="77C314B3" w14:textId="3B771A51" w:rsidR="00F127F2" w:rsidRDefault="00F127F2" w:rsidP="008F6E08">
            <w:pPr>
              <w:pStyle w:val="TableParagraph"/>
              <w:spacing w:before="48" w:line="276" w:lineRule="auto"/>
              <w:ind w:left="60"/>
              <w:rPr>
                <w:rFonts w:asciiTheme="majorHAnsi" w:hAnsiTheme="majorHAnsi"/>
                <w:b/>
                <w:sz w:val="20"/>
                <w:szCs w:val="20"/>
              </w:rPr>
            </w:pPr>
            <w:r w:rsidRPr="00DE7538">
              <w:rPr>
                <w:rFonts w:asciiTheme="majorHAnsi" w:hAnsiTheme="majorHAnsi"/>
                <w:b/>
                <w:sz w:val="20"/>
                <w:szCs w:val="20"/>
              </w:rPr>
              <w:t xml:space="preserve">Clinical Perspectives on the Impact of </w:t>
            </w:r>
            <w:proofErr w:type="spellStart"/>
            <w:r w:rsidRPr="00DE7538">
              <w:rPr>
                <w:rFonts w:asciiTheme="majorHAnsi" w:hAnsiTheme="majorHAnsi"/>
                <w:b/>
                <w:sz w:val="20"/>
                <w:szCs w:val="20"/>
              </w:rPr>
              <w:t>OlympiA</w:t>
            </w:r>
            <w:proofErr w:type="spellEnd"/>
            <w:r w:rsidRPr="00DE7538">
              <w:rPr>
                <w:rFonts w:asciiTheme="majorHAnsi" w:hAnsiTheme="majorHAnsi"/>
                <w:b/>
                <w:sz w:val="20"/>
                <w:szCs w:val="20"/>
              </w:rPr>
              <w:t xml:space="preserve"> and </w:t>
            </w:r>
            <w:proofErr w:type="spellStart"/>
            <w:r w:rsidRPr="00DE7538">
              <w:rPr>
                <w:rFonts w:asciiTheme="majorHAnsi" w:hAnsiTheme="majorHAnsi"/>
                <w:b/>
                <w:sz w:val="20"/>
                <w:szCs w:val="20"/>
              </w:rPr>
              <w:t>OlympiAD</w:t>
            </w:r>
            <w:proofErr w:type="spellEnd"/>
          </w:p>
          <w:p w14:paraId="7C57EA66" w14:textId="4C1B5AEB" w:rsidR="00F127F2" w:rsidRPr="00DE7538" w:rsidRDefault="00F127F2" w:rsidP="008F6E08">
            <w:pPr>
              <w:pStyle w:val="TableParagraph"/>
              <w:spacing w:before="48" w:line="276" w:lineRule="auto"/>
              <w:ind w:left="60"/>
              <w:rPr>
                <w:rFonts w:asciiTheme="majorHAnsi" w:hAnsiTheme="majorHAnsi"/>
                <w:b/>
                <w:sz w:val="20"/>
                <w:szCs w:val="20"/>
              </w:rPr>
            </w:pPr>
            <w:r>
              <w:rPr>
                <w:rFonts w:asciiTheme="majorHAnsi" w:hAnsiTheme="majorHAnsi"/>
                <w:b/>
                <w:sz w:val="20"/>
                <w:szCs w:val="20"/>
              </w:rPr>
              <w:t>An Interview with Dr Priyanka Sharma</w:t>
            </w:r>
          </w:p>
          <w:p w14:paraId="662554E6" w14:textId="5CC5EA1D" w:rsidR="00F127F2" w:rsidRPr="00DE7538" w:rsidRDefault="00F127F2" w:rsidP="008F6E08">
            <w:pPr>
              <w:pStyle w:val="TableParagraph"/>
              <w:spacing w:before="48" w:line="276" w:lineRule="auto"/>
              <w:ind w:left="60"/>
              <w:rPr>
                <w:rFonts w:asciiTheme="majorHAnsi" w:hAnsiTheme="majorHAnsi"/>
                <w:b/>
                <w:sz w:val="20"/>
                <w:szCs w:val="20"/>
              </w:rPr>
            </w:pPr>
            <w:r w:rsidRPr="00DE7538">
              <w:rPr>
                <w:noProof/>
              </w:rPr>
              <w:drawing>
                <wp:inline distT="0" distB="0" distL="0" distR="0" wp14:anchorId="19C2876C" wp14:editId="1C5A47A8">
                  <wp:extent cx="1598212" cy="1598212"/>
                  <wp:effectExtent l="0" t="0" r="2540" b="2540"/>
                  <wp:docPr id="1700844904" name="Picture 1" descr="Priyanka Sharma | Breast Cancer Researc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yanka Sharma | Breast Cancer Research Found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679" cy="1613679"/>
                          </a:xfrm>
                          <a:prstGeom prst="rect">
                            <a:avLst/>
                          </a:prstGeom>
                          <a:noFill/>
                          <a:ln>
                            <a:noFill/>
                          </a:ln>
                        </pic:spPr>
                      </pic:pic>
                    </a:graphicData>
                  </a:graphic>
                </wp:inline>
              </w:drawing>
            </w:r>
          </w:p>
          <w:p w14:paraId="616D34EE" w14:textId="77777777" w:rsidR="00F127F2" w:rsidRPr="00DE7538" w:rsidRDefault="00F127F2" w:rsidP="008F6E08">
            <w:pPr>
              <w:pStyle w:val="BasicParagraph"/>
              <w:suppressAutoHyphens/>
              <w:spacing w:line="240" w:lineRule="auto"/>
              <w:ind w:left="90" w:right="181"/>
              <w:rPr>
                <w:rFonts w:asciiTheme="majorHAnsi" w:hAnsiTheme="majorHAnsi"/>
                <w:bCs/>
                <w:sz w:val="20"/>
                <w:szCs w:val="20"/>
              </w:rPr>
            </w:pPr>
          </w:p>
          <w:p w14:paraId="6A990391" w14:textId="507BB739" w:rsidR="00F127F2" w:rsidRPr="003428CF" w:rsidRDefault="00F127F2" w:rsidP="003428CF">
            <w:pPr>
              <w:pStyle w:val="TableParagraph"/>
              <w:spacing w:before="48" w:line="276" w:lineRule="auto"/>
              <w:ind w:left="60"/>
              <w:rPr>
                <w:rFonts w:asciiTheme="majorHAnsi" w:hAnsiTheme="majorHAnsi"/>
                <w:b/>
                <w:sz w:val="20"/>
                <w:szCs w:val="20"/>
              </w:rPr>
            </w:pPr>
            <w:r w:rsidRPr="003418F4">
              <w:rPr>
                <w:rFonts w:asciiTheme="majorHAnsi" w:hAnsiTheme="majorHAnsi"/>
                <w:bCs/>
                <w:sz w:val="20"/>
                <w:szCs w:val="20"/>
              </w:rPr>
              <w:t xml:space="preserve">Priyanka Sharma, MD, Frank B. Tyler Professor in Cancer Research at the University of Kansas Medical Center and Co-Program Leader of the Drug Discovery, Delivery, and Experimental Therapeutics </w:t>
            </w:r>
            <w:r>
              <w:rPr>
                <w:rFonts w:asciiTheme="majorHAnsi" w:hAnsiTheme="majorHAnsi"/>
                <w:bCs/>
                <w:sz w:val="20"/>
                <w:szCs w:val="20"/>
              </w:rPr>
              <w:t>P</w:t>
            </w:r>
            <w:r w:rsidRPr="003418F4">
              <w:rPr>
                <w:rFonts w:asciiTheme="majorHAnsi" w:hAnsiTheme="majorHAnsi"/>
                <w:bCs/>
                <w:sz w:val="20"/>
                <w:szCs w:val="20"/>
              </w:rPr>
              <w:t>rogram at the University of Kansas Cancer Center.</w:t>
            </w:r>
          </w:p>
          <w:p w14:paraId="2E5BE777" w14:textId="77777777" w:rsidR="00F127F2" w:rsidRDefault="00F127F2" w:rsidP="008F6E08">
            <w:pPr>
              <w:pStyle w:val="BasicParagraph"/>
              <w:suppressAutoHyphens/>
              <w:spacing w:line="240" w:lineRule="auto"/>
              <w:ind w:left="90" w:right="181"/>
              <w:rPr>
                <w:rFonts w:asciiTheme="majorHAnsi" w:hAnsiTheme="majorHAnsi"/>
                <w:bCs/>
                <w:sz w:val="20"/>
                <w:szCs w:val="20"/>
                <w:vertAlign w:val="superscript"/>
              </w:rPr>
            </w:pPr>
          </w:p>
          <w:p w14:paraId="5E7EEAEC" w14:textId="77777777" w:rsidR="00F127F2" w:rsidRPr="00123768" w:rsidRDefault="00F127F2" w:rsidP="00286BA5">
            <w:pPr>
              <w:pStyle w:val="BasicParagraph"/>
              <w:suppressAutoHyphens/>
              <w:spacing w:line="240" w:lineRule="auto"/>
              <w:ind w:left="90" w:right="181"/>
              <w:rPr>
                <w:rFonts w:asciiTheme="majorHAnsi" w:hAnsiTheme="majorHAnsi"/>
                <w:bCs/>
                <w:sz w:val="20"/>
                <w:szCs w:val="20"/>
              </w:rPr>
            </w:pPr>
            <w:r w:rsidRPr="00123768">
              <w:rPr>
                <w:rFonts w:asciiTheme="majorHAnsi" w:hAnsiTheme="majorHAnsi"/>
                <w:bCs/>
                <w:sz w:val="20"/>
                <w:szCs w:val="20"/>
              </w:rPr>
              <w:t>Dr Sharma has been compensated by AstraZeneca for her participation.</w:t>
            </w:r>
          </w:p>
          <w:p w14:paraId="695AE137" w14:textId="77777777" w:rsidR="00F127F2" w:rsidRPr="00DE7538" w:rsidRDefault="00F127F2" w:rsidP="008F6E08">
            <w:pPr>
              <w:pStyle w:val="BasicParagraph"/>
              <w:suppressAutoHyphens/>
              <w:spacing w:line="240" w:lineRule="auto"/>
              <w:ind w:left="90" w:right="181"/>
              <w:rPr>
                <w:rFonts w:asciiTheme="majorHAnsi" w:hAnsiTheme="majorHAnsi"/>
                <w:bCs/>
                <w:sz w:val="20"/>
                <w:szCs w:val="20"/>
                <w:vertAlign w:val="superscript"/>
              </w:rPr>
            </w:pPr>
          </w:p>
          <w:p w14:paraId="67BDDC52" w14:textId="255EDCD6" w:rsidR="00F127F2" w:rsidRPr="00DE7538" w:rsidRDefault="00F127F2" w:rsidP="008F6E08">
            <w:pPr>
              <w:pStyle w:val="BasicParagraph"/>
              <w:suppressAutoHyphens/>
              <w:spacing w:line="240" w:lineRule="auto"/>
              <w:ind w:left="90" w:right="181"/>
              <w:rPr>
                <w:rFonts w:ascii="Karla" w:hAnsi="Karla" w:cs="Karla"/>
                <w:b/>
                <w:bCs/>
                <w:color w:val="041726" w:themeColor="text1"/>
                <w:sz w:val="20"/>
                <w:szCs w:val="20"/>
              </w:rPr>
            </w:pPr>
            <w:r w:rsidRPr="00DE7538">
              <w:rPr>
                <w:rFonts w:ascii="Karla" w:hAnsi="Karla" w:cs="Karla"/>
                <w:b/>
                <w:bCs/>
                <w:color w:val="041726" w:themeColor="text1"/>
                <w:sz w:val="20"/>
                <w:szCs w:val="20"/>
              </w:rPr>
              <w:t>Select Safety Information</w:t>
            </w:r>
          </w:p>
          <w:p w14:paraId="130CE061" w14:textId="77777777" w:rsidR="00F127F2" w:rsidRPr="00DE7538" w:rsidRDefault="00F127F2" w:rsidP="003B0AB4">
            <w:pPr>
              <w:pStyle w:val="BasicParagraph"/>
              <w:suppressAutoHyphens/>
              <w:spacing w:line="240" w:lineRule="auto"/>
              <w:ind w:left="90" w:right="181"/>
              <w:rPr>
                <w:rFonts w:ascii="Karla" w:hAnsi="Karla" w:cs="Karla"/>
                <w:b/>
                <w:bCs/>
                <w:color w:val="041726" w:themeColor="text1"/>
                <w:sz w:val="20"/>
                <w:szCs w:val="20"/>
              </w:rPr>
            </w:pPr>
            <w:r w:rsidRPr="00DE7538">
              <w:rPr>
                <w:rFonts w:ascii="Karla" w:hAnsi="Karla" w:cs="Karla"/>
                <w:color w:val="041726" w:themeColor="text1"/>
                <w:sz w:val="20"/>
                <w:szCs w:val="20"/>
              </w:rPr>
              <w:t>LYNPARZA is associated with serious and potentially fatal adverse events including myelodysplastic syndrome/acute myeloid leukemia (MDS/AML), pneumonitis, and venous thromboembolism (VTE). Monitor patients for signs and symptoms and discontinue LYNPARZA if MDS/AML or pneumonitis is confirmed. Monitor patients for signs and symptoms of VTE and treat as medically appropriate. LYNPARZA can cause fetal harm.</w:t>
            </w:r>
          </w:p>
          <w:p w14:paraId="7008A2EE" w14:textId="77777777" w:rsidR="00F127F2" w:rsidRPr="00DE7538" w:rsidRDefault="00F127F2" w:rsidP="003B0AB4">
            <w:pPr>
              <w:pStyle w:val="BasicParagraph"/>
              <w:suppressAutoHyphens/>
              <w:spacing w:line="240" w:lineRule="auto"/>
              <w:ind w:left="90" w:right="181"/>
              <w:rPr>
                <w:rFonts w:ascii="Karla" w:hAnsi="Karla" w:cs="Karla"/>
                <w:color w:val="041726" w:themeColor="text1"/>
                <w:sz w:val="20"/>
                <w:szCs w:val="20"/>
              </w:rPr>
            </w:pPr>
          </w:p>
          <w:p w14:paraId="1BCBBF40" w14:textId="3530D4FB" w:rsidR="00F127F2" w:rsidRPr="00DE7538" w:rsidRDefault="00F127F2" w:rsidP="00F127F2">
            <w:pPr>
              <w:pStyle w:val="BasicParagraph"/>
              <w:suppressAutoHyphens/>
              <w:spacing w:line="240" w:lineRule="auto"/>
              <w:ind w:left="90" w:right="181"/>
              <w:rPr>
                <w:rFonts w:ascii="Karla" w:hAnsi="Karla" w:cs="Karla"/>
                <w:color w:val="041726" w:themeColor="text1"/>
                <w:sz w:val="20"/>
                <w:szCs w:val="20"/>
              </w:rPr>
            </w:pPr>
            <w:r w:rsidRPr="00DE7538">
              <w:rPr>
                <w:rFonts w:ascii="Karla" w:hAnsi="Karla" w:cs="Karla"/>
                <w:color w:val="041726" w:themeColor="text1"/>
                <w:sz w:val="20"/>
                <w:szCs w:val="20"/>
              </w:rPr>
              <w:t xml:space="preserve">Please see full Important Safety Information at the end of the video. </w:t>
            </w:r>
          </w:p>
          <w:p w14:paraId="214FA971" w14:textId="66883958" w:rsidR="00F127F2" w:rsidRPr="00DE7538" w:rsidRDefault="00F127F2" w:rsidP="008F6E08">
            <w:pPr>
              <w:pStyle w:val="BasicParagraph"/>
              <w:suppressAutoHyphens/>
              <w:spacing w:line="240" w:lineRule="auto"/>
              <w:ind w:left="90" w:right="181"/>
              <w:rPr>
                <w:rFonts w:ascii="Karla" w:hAnsi="Karla" w:cs="Karla"/>
                <w:b/>
                <w:bCs/>
                <w:color w:val="041726" w:themeColor="text1"/>
                <w:sz w:val="20"/>
                <w:szCs w:val="20"/>
              </w:rPr>
            </w:pPr>
          </w:p>
        </w:tc>
      </w:tr>
    </w:tbl>
    <w:p w14:paraId="61F8CC6B" w14:textId="0A66F0B6" w:rsidR="002D1400" w:rsidRDefault="002D1400"/>
    <w:p w14:paraId="53C93262" w14:textId="77777777" w:rsidR="00F127F2" w:rsidRDefault="00F127F2"/>
    <w:p w14:paraId="76EA1B36" w14:textId="77777777" w:rsidR="00F127F2" w:rsidRDefault="00F127F2"/>
    <w:p w14:paraId="6815850A" w14:textId="77777777" w:rsidR="00F127F2" w:rsidRDefault="00F127F2"/>
    <w:p w14:paraId="6ACF3107" w14:textId="77777777" w:rsidR="00F127F2" w:rsidRDefault="00F127F2"/>
    <w:p w14:paraId="6587C158" w14:textId="77777777" w:rsidR="00F127F2" w:rsidRPr="00DE7538" w:rsidRDefault="00F127F2"/>
    <w:tbl>
      <w:tblPr>
        <w:tblW w:w="1341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410"/>
      </w:tblGrid>
      <w:tr w:rsidR="00F127F2" w:rsidRPr="00DE7538" w14:paraId="7D2D925C" w14:textId="0824098E" w:rsidTr="00F127F2">
        <w:trPr>
          <w:cantSplit/>
          <w:trHeight w:val="20"/>
        </w:trPr>
        <w:tc>
          <w:tcPr>
            <w:tcW w:w="13410" w:type="dxa"/>
            <w:shd w:val="clear" w:color="auto" w:fill="829BAD" w:themeFill="background2"/>
          </w:tcPr>
          <w:p w14:paraId="68B8D5E0" w14:textId="5A9A0684" w:rsidR="00F127F2" w:rsidRPr="00DE7538" w:rsidRDefault="00F127F2" w:rsidP="00E70425">
            <w:pPr>
              <w:pStyle w:val="TableParagraph"/>
              <w:spacing w:before="48" w:line="233" w:lineRule="exact"/>
              <w:ind w:left="60"/>
              <w:rPr>
                <w:rFonts w:asciiTheme="majorHAnsi" w:hAnsiTheme="majorHAnsi"/>
                <w:b/>
                <w:sz w:val="20"/>
              </w:rPr>
            </w:pPr>
            <w:r w:rsidRPr="00DE7538">
              <w:rPr>
                <w:rFonts w:asciiTheme="majorHAnsi" w:hAnsiTheme="majorHAnsi"/>
                <w:b/>
                <w:color w:val="FFFFFF" w:themeColor="accent6"/>
                <w:sz w:val="20"/>
              </w:rPr>
              <w:lastRenderedPageBreak/>
              <w:t>Screen 1</w:t>
            </w:r>
          </w:p>
        </w:tc>
      </w:tr>
      <w:tr w:rsidR="00F127F2" w:rsidRPr="00DE7538" w14:paraId="54ECCD16" w14:textId="35D34BEB" w:rsidTr="00F127F2">
        <w:trPr>
          <w:cantSplit/>
          <w:trHeight w:val="20"/>
        </w:trPr>
        <w:tc>
          <w:tcPr>
            <w:tcW w:w="13410" w:type="dxa"/>
            <w:shd w:val="clear" w:color="auto" w:fill="auto"/>
          </w:tcPr>
          <w:p w14:paraId="2F2AC105" w14:textId="5059D2F1" w:rsidR="00F127F2" w:rsidRPr="00D54BDA" w:rsidRDefault="00F127F2" w:rsidP="00F127F2">
            <w:pPr>
              <w:pStyle w:val="BasicParagraph"/>
              <w:suppressAutoHyphens/>
              <w:spacing w:line="240" w:lineRule="auto"/>
              <w:ind w:left="90" w:right="181"/>
              <w:rPr>
                <w:rFonts w:ascii="Karla" w:hAnsi="Karla" w:cs="Karla"/>
                <w:color w:val="041726" w:themeColor="text1"/>
                <w:sz w:val="18"/>
                <w:szCs w:val="18"/>
              </w:rPr>
            </w:pPr>
            <w:r w:rsidRPr="00D54BDA">
              <w:rPr>
                <w:rFonts w:ascii="Karla" w:hAnsi="Karla" w:cs="Karla"/>
                <w:color w:val="041726" w:themeColor="text1"/>
                <w:sz w:val="18"/>
                <w:szCs w:val="18"/>
              </w:rPr>
              <w:t xml:space="preserve">Hi, my name is Dr </w:t>
            </w:r>
            <w:r w:rsidRPr="00D54BDA">
              <w:rPr>
                <w:rFonts w:asciiTheme="majorHAnsi" w:hAnsiTheme="majorHAnsi"/>
                <w:bCs/>
                <w:sz w:val="18"/>
                <w:szCs w:val="18"/>
              </w:rPr>
              <w:t>Priyanka Sharma</w:t>
            </w:r>
            <w:r w:rsidRPr="00D54BDA">
              <w:rPr>
                <w:rFonts w:ascii="Karla" w:hAnsi="Karla" w:cs="Karla"/>
                <w:color w:val="041726" w:themeColor="text1"/>
                <w:sz w:val="18"/>
                <w:szCs w:val="18"/>
              </w:rPr>
              <w:t xml:space="preserve">. </w:t>
            </w:r>
          </w:p>
          <w:p w14:paraId="2403C038" w14:textId="20FE3F38" w:rsidR="00F127F2" w:rsidRPr="00D54BDA" w:rsidRDefault="00F127F2" w:rsidP="00F127F2">
            <w:pPr>
              <w:pStyle w:val="BasicParagraph"/>
              <w:suppressAutoHyphens/>
              <w:spacing w:line="240" w:lineRule="auto"/>
              <w:ind w:left="90" w:right="181"/>
              <w:rPr>
                <w:rFonts w:ascii="Karla" w:hAnsi="Karla" w:cs="Karla"/>
                <w:color w:val="041726" w:themeColor="text1"/>
                <w:sz w:val="18"/>
                <w:szCs w:val="18"/>
              </w:rPr>
            </w:pPr>
            <w:r w:rsidRPr="00D54BDA">
              <w:rPr>
                <w:rFonts w:ascii="Karla" w:hAnsi="Karla" w:cs="Karla"/>
                <w:color w:val="041726" w:themeColor="text1"/>
                <w:sz w:val="18"/>
                <w:szCs w:val="18"/>
              </w:rPr>
              <w:t>The breast cancer treatment landscape is continuously evolving thanks to our broadening understanding of the value of precision medicine. And of course, when we think about precision medicine, one of the very effective treatments that we think about is LYNPARZA. It’s amazing that LYNPARZA has been available to patients with certain types of breast cancers for quite some time now.</w:t>
            </w:r>
            <w:r w:rsidRPr="00D54BDA">
              <w:rPr>
                <w:rFonts w:ascii="Karla" w:hAnsi="Karla" w:cs="Karla"/>
                <w:color w:val="041726" w:themeColor="text1"/>
                <w:sz w:val="18"/>
                <w:szCs w:val="18"/>
                <w:vertAlign w:val="superscript"/>
              </w:rPr>
              <w:t>2</w:t>
            </w:r>
          </w:p>
          <w:p w14:paraId="6020A751" w14:textId="65EB1EE5" w:rsidR="00F127F2" w:rsidRPr="00D54BDA" w:rsidRDefault="00F127F2" w:rsidP="00E70425">
            <w:pPr>
              <w:pStyle w:val="BasicParagraph"/>
              <w:suppressAutoHyphens/>
              <w:spacing w:line="240" w:lineRule="auto"/>
              <w:ind w:left="90" w:right="181"/>
              <w:rPr>
                <w:rFonts w:ascii="Karla" w:hAnsi="Karla" w:cs="Karla"/>
                <w:color w:val="D30000" w:themeColor="accent1"/>
                <w:sz w:val="18"/>
                <w:szCs w:val="18"/>
              </w:rPr>
            </w:pPr>
            <w:r w:rsidRPr="00D54BDA">
              <w:rPr>
                <w:rFonts w:ascii="Karla" w:hAnsi="Karla" w:cs="Karla"/>
                <w:color w:val="041726" w:themeColor="text1"/>
                <w:sz w:val="18"/>
                <w:szCs w:val="18"/>
              </w:rPr>
              <w:t xml:space="preserve">As the first approved PARP inhibitor for patients with germline </w:t>
            </w:r>
            <w:r w:rsidRPr="00D54BDA">
              <w:rPr>
                <w:rFonts w:ascii="Karla" w:hAnsi="Karla" w:cs="Karla"/>
                <w:i/>
                <w:iCs/>
                <w:color w:val="041726" w:themeColor="text1"/>
                <w:sz w:val="18"/>
                <w:szCs w:val="18"/>
              </w:rPr>
              <w:t>BRCA</w:t>
            </w:r>
            <w:r w:rsidRPr="00D54BDA">
              <w:rPr>
                <w:rFonts w:ascii="Karla" w:hAnsi="Karla" w:cs="Karla"/>
                <w:color w:val="041726" w:themeColor="text1"/>
                <w:sz w:val="18"/>
                <w:szCs w:val="18"/>
              </w:rPr>
              <w:t xml:space="preserve"> mutation-associated metastatic breast cancer, and the only PARP inhibitor approved for </w:t>
            </w:r>
            <w:proofErr w:type="spellStart"/>
            <w:r w:rsidRPr="00D54BDA">
              <w:rPr>
                <w:rFonts w:ascii="Karla" w:hAnsi="Karla" w:cs="Karla"/>
                <w:color w:val="041726" w:themeColor="text1"/>
                <w:sz w:val="18"/>
                <w:szCs w:val="18"/>
              </w:rPr>
              <w:t>g</w:t>
            </w:r>
            <w:r w:rsidRPr="00D54BDA">
              <w:rPr>
                <w:rFonts w:ascii="Karla" w:hAnsi="Karla" w:cs="Karla"/>
                <w:i/>
                <w:iCs/>
                <w:color w:val="041726" w:themeColor="text1"/>
                <w:sz w:val="18"/>
                <w:szCs w:val="18"/>
              </w:rPr>
              <w:t>BRCA</w:t>
            </w:r>
            <w:proofErr w:type="spellEnd"/>
            <w:r w:rsidRPr="00D54BDA">
              <w:rPr>
                <w:rFonts w:ascii="Karla" w:hAnsi="Karla" w:cs="Karla"/>
                <w:color w:val="041726" w:themeColor="text1"/>
                <w:sz w:val="18"/>
                <w:szCs w:val="18"/>
              </w:rPr>
              <w:t xml:space="preserve"> mutation-associated early-stage breast cancer, LYNPARZA represented a significant treatment advance for patients with germline </w:t>
            </w:r>
            <w:r w:rsidRPr="00D54BDA">
              <w:rPr>
                <w:rFonts w:ascii="Karla" w:hAnsi="Karla" w:cs="Karla"/>
                <w:i/>
                <w:iCs/>
                <w:color w:val="041726" w:themeColor="text1"/>
                <w:sz w:val="18"/>
                <w:szCs w:val="18"/>
              </w:rPr>
              <w:t>BRCA</w:t>
            </w:r>
            <w:r w:rsidRPr="00D54BDA">
              <w:rPr>
                <w:rFonts w:ascii="Karla" w:hAnsi="Karla" w:cs="Karla"/>
                <w:color w:val="041726" w:themeColor="text1"/>
                <w:sz w:val="18"/>
                <w:szCs w:val="18"/>
              </w:rPr>
              <w:t xml:space="preserve">1 or 2 </w:t>
            </w:r>
            <w:proofErr w:type="gramStart"/>
            <w:r w:rsidRPr="00D54BDA">
              <w:rPr>
                <w:rFonts w:ascii="Karla" w:hAnsi="Karla" w:cs="Karla"/>
                <w:color w:val="041726" w:themeColor="text1"/>
                <w:sz w:val="18"/>
                <w:szCs w:val="18"/>
              </w:rPr>
              <w:t>mutation</w:t>
            </w:r>
            <w:proofErr w:type="gramEnd"/>
            <w:r w:rsidRPr="00D54BDA">
              <w:rPr>
                <w:rFonts w:ascii="Karla" w:hAnsi="Karla" w:cs="Karla"/>
                <w:color w:val="041726" w:themeColor="text1"/>
                <w:sz w:val="18"/>
                <w:szCs w:val="18"/>
              </w:rPr>
              <w:t>, giving them a targeted treatment option that was not previously available.</w:t>
            </w:r>
            <w:r w:rsidRPr="00D54BDA">
              <w:rPr>
                <w:rFonts w:ascii="Karla" w:hAnsi="Karla" w:cs="Karla"/>
                <w:color w:val="041726" w:themeColor="text1"/>
                <w:sz w:val="18"/>
                <w:szCs w:val="18"/>
                <w:vertAlign w:val="superscript"/>
              </w:rPr>
              <w:t>1,2</w:t>
            </w:r>
          </w:p>
          <w:p w14:paraId="7307EE0C" w14:textId="3489C2D2" w:rsidR="00F127F2" w:rsidRPr="00DE7538" w:rsidRDefault="00F127F2" w:rsidP="00E70425">
            <w:pPr>
              <w:pStyle w:val="BasicParagraph"/>
              <w:suppressAutoHyphens/>
              <w:spacing w:line="240" w:lineRule="auto"/>
              <w:ind w:left="90" w:right="181"/>
              <w:rPr>
                <w:rFonts w:ascii="Karla" w:hAnsi="Karla" w:cs="Karla"/>
                <w:color w:val="041726" w:themeColor="text1"/>
                <w:sz w:val="20"/>
                <w:szCs w:val="20"/>
              </w:rPr>
            </w:pPr>
          </w:p>
        </w:tc>
      </w:tr>
      <w:tr w:rsidR="00F127F2" w:rsidRPr="00DE7538" w14:paraId="06004600" w14:textId="541C7BE0" w:rsidTr="00F127F2">
        <w:trPr>
          <w:cantSplit/>
          <w:trHeight w:val="20"/>
        </w:trPr>
        <w:tc>
          <w:tcPr>
            <w:tcW w:w="13410" w:type="dxa"/>
            <w:shd w:val="clear" w:color="auto" w:fill="829BAD" w:themeFill="background2"/>
            <w:vAlign w:val="center"/>
          </w:tcPr>
          <w:p w14:paraId="08E9A305" w14:textId="5FBFAE2F" w:rsidR="00F127F2" w:rsidRPr="00DE7538" w:rsidRDefault="00F127F2" w:rsidP="00302BE0">
            <w:pPr>
              <w:pStyle w:val="TableParagraph"/>
              <w:spacing w:before="48"/>
              <w:ind w:left="60"/>
              <w:rPr>
                <w:rFonts w:asciiTheme="majorHAnsi" w:hAnsiTheme="majorHAnsi"/>
                <w:b/>
                <w:color w:val="FFFFFF" w:themeColor="accent6"/>
                <w:sz w:val="20"/>
              </w:rPr>
            </w:pPr>
            <w:r w:rsidRPr="00DE7538">
              <w:rPr>
                <w:rFonts w:asciiTheme="majorHAnsi" w:hAnsiTheme="majorHAnsi"/>
                <w:b/>
                <w:color w:val="FFFFFF" w:themeColor="accent6"/>
                <w:sz w:val="20"/>
              </w:rPr>
              <w:t>Screen 2</w:t>
            </w:r>
          </w:p>
        </w:tc>
      </w:tr>
      <w:tr w:rsidR="00F127F2" w:rsidRPr="00E04689" w14:paraId="1C2961C9" w14:textId="35C8B89A" w:rsidTr="00F127F2">
        <w:trPr>
          <w:cantSplit/>
          <w:trHeight w:val="20"/>
        </w:trPr>
        <w:tc>
          <w:tcPr>
            <w:tcW w:w="13410" w:type="dxa"/>
            <w:shd w:val="clear" w:color="auto" w:fill="auto"/>
          </w:tcPr>
          <w:p w14:paraId="538A3495" w14:textId="3522E2D1" w:rsidR="00F127F2" w:rsidRPr="00D54BDA" w:rsidRDefault="00F127F2" w:rsidP="00D9258F">
            <w:pPr>
              <w:spacing w:line="240" w:lineRule="auto"/>
              <w:ind w:left="86"/>
              <w:rPr>
                <w:color w:val="D30000" w:themeColor="accent1"/>
                <w:sz w:val="18"/>
                <w:szCs w:val="18"/>
              </w:rPr>
            </w:pPr>
            <w:r w:rsidRPr="00D54BDA">
              <w:rPr>
                <w:sz w:val="18"/>
                <w:szCs w:val="18"/>
              </w:rPr>
              <w:t xml:space="preserve">In 2017 the first phase 3 trial of LYNPARZA in breast cancer was published. </w:t>
            </w:r>
            <w:proofErr w:type="spellStart"/>
            <w:r w:rsidRPr="00D54BDA">
              <w:rPr>
                <w:sz w:val="18"/>
                <w:szCs w:val="18"/>
              </w:rPr>
              <w:t>OlympiAD</w:t>
            </w:r>
            <w:proofErr w:type="spellEnd"/>
            <w:r w:rsidRPr="00D54BDA">
              <w:rPr>
                <w:sz w:val="18"/>
                <w:szCs w:val="18"/>
              </w:rPr>
              <w:t xml:space="preserve">, compared LYNPARZA with standard-of-care chemotherapy in patients with </w:t>
            </w:r>
            <w:proofErr w:type="spellStart"/>
            <w:r w:rsidRPr="00D54BDA">
              <w:rPr>
                <w:sz w:val="18"/>
                <w:szCs w:val="18"/>
              </w:rPr>
              <w:t>g</w:t>
            </w:r>
            <w:r w:rsidRPr="00D54BDA">
              <w:rPr>
                <w:i/>
                <w:iCs/>
                <w:sz w:val="18"/>
                <w:szCs w:val="18"/>
              </w:rPr>
              <w:t>BRCA</w:t>
            </w:r>
            <w:r w:rsidRPr="00D54BDA">
              <w:rPr>
                <w:sz w:val="18"/>
                <w:szCs w:val="18"/>
              </w:rPr>
              <w:t>m</w:t>
            </w:r>
            <w:proofErr w:type="spellEnd"/>
            <w:r w:rsidRPr="00D54BDA">
              <w:rPr>
                <w:sz w:val="18"/>
                <w:szCs w:val="18"/>
              </w:rPr>
              <w:t xml:space="preserve"> HER2-negative metastatic breast cancer. This study showed that LYNPARZA was superior to standard-of-care chemotherapy in terms of progression free survival.</w:t>
            </w:r>
            <w:r w:rsidRPr="00D54BDA">
              <w:rPr>
                <w:sz w:val="18"/>
                <w:szCs w:val="18"/>
                <w:vertAlign w:val="superscript"/>
              </w:rPr>
              <w:t>1,3</w:t>
            </w:r>
          </w:p>
        </w:tc>
      </w:tr>
      <w:tr w:rsidR="00F127F2" w:rsidRPr="00DE7538" w14:paraId="3F3A1961" w14:textId="77777777" w:rsidTr="00F127F2">
        <w:trPr>
          <w:cantSplit/>
          <w:trHeight w:val="198"/>
        </w:trPr>
        <w:tc>
          <w:tcPr>
            <w:tcW w:w="13410" w:type="dxa"/>
            <w:shd w:val="clear" w:color="auto" w:fill="829BAD" w:themeFill="background2"/>
          </w:tcPr>
          <w:p w14:paraId="023CE1A7" w14:textId="6EC4E28F" w:rsidR="00F127F2" w:rsidRPr="00DE7538" w:rsidRDefault="00F127F2" w:rsidP="002602BD">
            <w:pPr>
              <w:pStyle w:val="TableParagraph"/>
              <w:spacing w:before="48"/>
              <w:ind w:left="60"/>
              <w:rPr>
                <w:rFonts w:asciiTheme="majorHAnsi" w:hAnsiTheme="majorHAnsi"/>
                <w:b/>
                <w:color w:val="FFFFFF" w:themeColor="accent6"/>
                <w:sz w:val="20"/>
              </w:rPr>
            </w:pPr>
            <w:r w:rsidRPr="00DE7538">
              <w:rPr>
                <w:rFonts w:asciiTheme="majorHAnsi" w:hAnsiTheme="majorHAnsi"/>
                <w:b/>
                <w:color w:val="FFFFFF" w:themeColor="accent6"/>
                <w:sz w:val="20"/>
              </w:rPr>
              <w:t>Screen 3</w:t>
            </w:r>
          </w:p>
        </w:tc>
      </w:tr>
      <w:tr w:rsidR="00F127F2" w:rsidRPr="00DE7538" w14:paraId="3880B807" w14:textId="77777777" w:rsidTr="00F127F2">
        <w:trPr>
          <w:cantSplit/>
          <w:trHeight w:val="20"/>
        </w:trPr>
        <w:tc>
          <w:tcPr>
            <w:tcW w:w="13410" w:type="dxa"/>
            <w:shd w:val="clear" w:color="auto" w:fill="auto"/>
          </w:tcPr>
          <w:p w14:paraId="32EC73A8" w14:textId="1BA90700" w:rsidR="00F127F2" w:rsidRPr="00D54BDA" w:rsidRDefault="00F127F2" w:rsidP="002602BD">
            <w:pPr>
              <w:spacing w:line="240" w:lineRule="auto"/>
              <w:ind w:left="86"/>
              <w:rPr>
                <w:sz w:val="18"/>
                <w:szCs w:val="18"/>
              </w:rPr>
            </w:pPr>
            <w:r w:rsidRPr="00D54BDA">
              <w:rPr>
                <w:sz w:val="18"/>
                <w:szCs w:val="18"/>
              </w:rPr>
              <w:t xml:space="preserve">The results from the </w:t>
            </w:r>
            <w:proofErr w:type="spellStart"/>
            <w:r w:rsidRPr="00D54BDA">
              <w:rPr>
                <w:sz w:val="18"/>
                <w:szCs w:val="18"/>
              </w:rPr>
              <w:t>OlympiAD</w:t>
            </w:r>
            <w:proofErr w:type="spellEnd"/>
            <w:r w:rsidRPr="00D54BDA">
              <w:rPr>
                <w:sz w:val="18"/>
                <w:szCs w:val="18"/>
              </w:rPr>
              <w:t xml:space="preserve"> trial led to the 2018 approval of LYNPARZA for patients with </w:t>
            </w:r>
            <w:proofErr w:type="spellStart"/>
            <w:r w:rsidRPr="00D54BDA">
              <w:rPr>
                <w:sz w:val="18"/>
                <w:szCs w:val="18"/>
              </w:rPr>
              <w:t>g</w:t>
            </w:r>
            <w:r w:rsidRPr="00D54BDA">
              <w:rPr>
                <w:i/>
                <w:iCs/>
                <w:sz w:val="18"/>
                <w:szCs w:val="18"/>
              </w:rPr>
              <w:t>BRCA</w:t>
            </w:r>
            <w:r w:rsidRPr="00D54BDA">
              <w:rPr>
                <w:sz w:val="18"/>
                <w:szCs w:val="18"/>
              </w:rPr>
              <w:t>m</w:t>
            </w:r>
            <w:proofErr w:type="spellEnd"/>
            <w:r w:rsidRPr="00D54BDA">
              <w:rPr>
                <w:sz w:val="18"/>
                <w:szCs w:val="18"/>
              </w:rPr>
              <w:t xml:space="preserve"> associated HER2-negative metastatic breast cancer, which allowed us to use this effective oral medication in clinic.</w:t>
            </w:r>
            <w:r w:rsidRPr="00D54BDA">
              <w:rPr>
                <w:sz w:val="18"/>
                <w:szCs w:val="18"/>
                <w:vertAlign w:val="superscript"/>
              </w:rPr>
              <w:t>1,2</w:t>
            </w:r>
          </w:p>
        </w:tc>
      </w:tr>
      <w:tr w:rsidR="00F127F2" w:rsidRPr="00DE7538" w14:paraId="69E01F1C" w14:textId="7BC8A4DD" w:rsidTr="00F127F2">
        <w:trPr>
          <w:cantSplit/>
          <w:trHeight w:val="20"/>
        </w:trPr>
        <w:tc>
          <w:tcPr>
            <w:tcW w:w="13410" w:type="dxa"/>
            <w:shd w:val="clear" w:color="auto" w:fill="829BAD" w:themeFill="background2"/>
          </w:tcPr>
          <w:p w14:paraId="3D9741B5" w14:textId="07D1636B" w:rsidR="00F127F2" w:rsidRPr="00DE7538" w:rsidRDefault="00F127F2" w:rsidP="002602BD">
            <w:pPr>
              <w:pStyle w:val="TableParagraph"/>
              <w:spacing w:before="48"/>
              <w:ind w:left="60"/>
              <w:rPr>
                <w:rFonts w:asciiTheme="majorHAnsi" w:hAnsiTheme="majorHAnsi"/>
                <w:b/>
                <w:noProof/>
                <w:color w:val="FFFFFF" w:themeColor="accent6"/>
                <w:sz w:val="20"/>
              </w:rPr>
            </w:pPr>
            <w:r w:rsidRPr="00DE7538">
              <w:rPr>
                <w:rFonts w:asciiTheme="majorHAnsi" w:hAnsiTheme="majorHAnsi"/>
                <w:b/>
                <w:color w:val="FFFFFF" w:themeColor="accent6"/>
                <w:sz w:val="20"/>
              </w:rPr>
              <w:t>Screen 4</w:t>
            </w:r>
          </w:p>
        </w:tc>
      </w:tr>
      <w:tr w:rsidR="00F127F2" w:rsidRPr="00DE7538" w14:paraId="48072EED" w14:textId="0227A932" w:rsidTr="00F127F2">
        <w:trPr>
          <w:cantSplit/>
          <w:trHeight w:val="20"/>
        </w:trPr>
        <w:tc>
          <w:tcPr>
            <w:tcW w:w="13410" w:type="dxa"/>
            <w:shd w:val="clear" w:color="auto" w:fill="auto"/>
          </w:tcPr>
          <w:p w14:paraId="1C090BD9" w14:textId="01B7D006" w:rsidR="00F127F2" w:rsidRPr="00D54BDA" w:rsidRDefault="00F127F2" w:rsidP="002602BD">
            <w:pPr>
              <w:spacing w:line="240" w:lineRule="auto"/>
              <w:ind w:left="86"/>
              <w:rPr>
                <w:sz w:val="18"/>
                <w:szCs w:val="18"/>
              </w:rPr>
            </w:pPr>
            <w:r w:rsidRPr="00D54BDA">
              <w:rPr>
                <w:i/>
                <w:iCs/>
                <w:sz w:val="18"/>
                <w:szCs w:val="18"/>
              </w:rPr>
              <w:t>BRCA</w:t>
            </w:r>
            <w:r w:rsidRPr="00D54BDA">
              <w:rPr>
                <w:sz w:val="18"/>
                <w:szCs w:val="18"/>
              </w:rPr>
              <w:t>-associated breast cancers represent 5-10% of all breast cancers. However, breast cancer is a very common cancer. So, in sheer numbers, 5-10% of breast cancers represent modest number of patients that we see in clinic.</w:t>
            </w:r>
            <w:r w:rsidRPr="00D54BDA">
              <w:rPr>
                <w:color w:val="041726" w:themeColor="text1"/>
                <w:sz w:val="18"/>
                <w:szCs w:val="18"/>
                <w:vertAlign w:val="superscript"/>
              </w:rPr>
              <w:t>4,5</w:t>
            </w:r>
          </w:p>
          <w:p w14:paraId="001C1519" w14:textId="0C6742EF" w:rsidR="00F127F2" w:rsidRPr="00D54BDA" w:rsidRDefault="00F127F2" w:rsidP="002602BD">
            <w:pPr>
              <w:spacing w:line="240" w:lineRule="auto"/>
              <w:ind w:left="86"/>
              <w:rPr>
                <w:sz w:val="18"/>
                <w:szCs w:val="18"/>
              </w:rPr>
            </w:pPr>
            <w:r w:rsidRPr="00D54BDA">
              <w:rPr>
                <w:sz w:val="18"/>
                <w:szCs w:val="18"/>
              </w:rPr>
              <w:t>Prior to the approval of targeted therapy, genetic testing was primarily limited to counseling for second cancers, cascade testing the family members, preventative strategies, etc. But once targeted therapies were approved, genetic testing information became important for making cancer treatment decisions. This meant that patients needed information and access to genetic testing in a time-sensitive fashion. Many models of point-of-care testing with support from physician extenders are now used in clinic. The goal is to provide rapid access to testing for all eligible patients, even if genetic counselor services are not readily available.</w:t>
            </w:r>
            <w:r w:rsidRPr="00D54BDA">
              <w:rPr>
                <w:color w:val="041726" w:themeColor="text1"/>
                <w:sz w:val="18"/>
                <w:szCs w:val="18"/>
                <w:vertAlign w:val="superscript"/>
              </w:rPr>
              <w:t>6</w:t>
            </w:r>
          </w:p>
          <w:p w14:paraId="56165E4C" w14:textId="3E28098B" w:rsidR="00F127F2" w:rsidRPr="00DE7538" w:rsidRDefault="00F127F2" w:rsidP="002602BD">
            <w:pPr>
              <w:spacing w:line="240" w:lineRule="auto"/>
              <w:ind w:left="86"/>
              <w:rPr>
                <w:rFonts w:asciiTheme="majorHAnsi" w:hAnsiTheme="majorHAnsi"/>
                <w:b/>
                <w:noProof/>
                <w:color w:val="FFFFFF" w:themeColor="accent6"/>
                <w:sz w:val="20"/>
              </w:rPr>
            </w:pPr>
            <w:r w:rsidRPr="00D54BDA">
              <w:rPr>
                <w:sz w:val="18"/>
                <w:szCs w:val="18"/>
              </w:rPr>
              <w:t xml:space="preserve">With </w:t>
            </w:r>
            <w:r w:rsidRPr="00D54BDA">
              <w:rPr>
                <w:i/>
                <w:iCs/>
                <w:sz w:val="18"/>
                <w:szCs w:val="18"/>
              </w:rPr>
              <w:t>BRCA</w:t>
            </w:r>
            <w:r w:rsidRPr="00D54BDA">
              <w:rPr>
                <w:sz w:val="18"/>
                <w:szCs w:val="18"/>
              </w:rPr>
              <w:t xml:space="preserve"> mutation-associated breast cancers, the approval of LYNPARZA led to a change in guidelines to recommend testing for germline </w:t>
            </w:r>
            <w:r w:rsidRPr="00D54BDA">
              <w:rPr>
                <w:i/>
                <w:iCs/>
                <w:sz w:val="18"/>
                <w:szCs w:val="18"/>
              </w:rPr>
              <w:t>BRCA1/2</w:t>
            </w:r>
            <w:r w:rsidRPr="00D54BDA">
              <w:rPr>
                <w:sz w:val="18"/>
                <w:szCs w:val="18"/>
              </w:rPr>
              <w:t xml:space="preserve"> in all patients with metastatic breast cancer, as there was an available targeted treatment option. This led to shift in how we think of genetic testing in clinical practice, which was good for our patients.</w:t>
            </w:r>
            <w:r w:rsidRPr="00D54BDA">
              <w:rPr>
                <w:sz w:val="18"/>
                <w:szCs w:val="18"/>
                <w:vertAlign w:val="superscript"/>
              </w:rPr>
              <w:t>6,7</w:t>
            </w:r>
          </w:p>
        </w:tc>
      </w:tr>
      <w:tr w:rsidR="00F127F2" w:rsidRPr="00DE7538" w14:paraId="192461F8" w14:textId="7E2E9FD4" w:rsidTr="00F127F2">
        <w:trPr>
          <w:cantSplit/>
          <w:trHeight w:val="20"/>
        </w:trPr>
        <w:tc>
          <w:tcPr>
            <w:tcW w:w="13410" w:type="dxa"/>
            <w:shd w:val="clear" w:color="auto" w:fill="829BAD" w:themeFill="background2"/>
          </w:tcPr>
          <w:p w14:paraId="1A909FB3" w14:textId="4E85D3CA" w:rsidR="00F127F2" w:rsidRPr="00DE7538" w:rsidRDefault="00F127F2" w:rsidP="00302BE0">
            <w:pPr>
              <w:pStyle w:val="TableParagraph"/>
              <w:spacing w:before="48" w:line="276" w:lineRule="auto"/>
              <w:ind w:left="60"/>
              <w:rPr>
                <w:rFonts w:asciiTheme="majorHAnsi" w:hAnsiTheme="majorHAnsi"/>
                <w:b/>
                <w:noProof/>
                <w:color w:val="FFFFFF" w:themeColor="accent6"/>
                <w:sz w:val="20"/>
              </w:rPr>
            </w:pPr>
            <w:r w:rsidRPr="00DE7538">
              <w:rPr>
                <w:rFonts w:asciiTheme="majorHAnsi" w:hAnsiTheme="majorHAnsi"/>
                <w:b/>
                <w:color w:val="FFFFFF" w:themeColor="accent6"/>
                <w:sz w:val="20"/>
              </w:rPr>
              <w:t>Screen 5</w:t>
            </w:r>
          </w:p>
        </w:tc>
      </w:tr>
      <w:tr w:rsidR="00F127F2" w:rsidRPr="009A7B12" w14:paraId="247C7952" w14:textId="4077885D" w:rsidTr="00F127F2">
        <w:trPr>
          <w:cantSplit/>
          <w:trHeight w:val="1269"/>
        </w:trPr>
        <w:tc>
          <w:tcPr>
            <w:tcW w:w="13410" w:type="dxa"/>
            <w:shd w:val="clear" w:color="auto" w:fill="auto"/>
          </w:tcPr>
          <w:p w14:paraId="585E5A43" w14:textId="7EEF5AC0" w:rsidR="00F127F2" w:rsidRPr="00D54BDA" w:rsidRDefault="00F127F2" w:rsidP="00F127F2">
            <w:pPr>
              <w:spacing w:line="240" w:lineRule="auto"/>
              <w:ind w:left="86"/>
              <w:rPr>
                <w:sz w:val="18"/>
                <w:szCs w:val="18"/>
              </w:rPr>
            </w:pPr>
            <w:r w:rsidRPr="00D54BDA">
              <w:rPr>
                <w:sz w:val="18"/>
                <w:szCs w:val="18"/>
              </w:rPr>
              <w:t xml:space="preserve">As we started to gain experience with LYNPARZA in our patients with </w:t>
            </w:r>
            <w:r w:rsidRPr="00D54BDA">
              <w:rPr>
                <w:i/>
                <w:iCs/>
                <w:sz w:val="18"/>
                <w:szCs w:val="18"/>
              </w:rPr>
              <w:t>BRCA</w:t>
            </w:r>
            <w:r w:rsidRPr="00D54BDA">
              <w:rPr>
                <w:sz w:val="18"/>
                <w:szCs w:val="18"/>
              </w:rPr>
              <w:t xml:space="preserve">-mutated metastatic breast cancer, the high-risk </w:t>
            </w:r>
            <w:proofErr w:type="gramStart"/>
            <w:r w:rsidRPr="00D54BDA">
              <w:rPr>
                <w:sz w:val="18"/>
                <w:szCs w:val="18"/>
              </w:rPr>
              <w:t>early stage</w:t>
            </w:r>
            <w:proofErr w:type="gramEnd"/>
            <w:r w:rsidRPr="00D54BDA">
              <w:rPr>
                <w:sz w:val="18"/>
                <w:szCs w:val="18"/>
              </w:rPr>
              <w:t xml:space="preserve"> breast cancer trial, </w:t>
            </w:r>
            <w:proofErr w:type="spellStart"/>
            <w:r w:rsidRPr="00D54BDA">
              <w:rPr>
                <w:sz w:val="18"/>
                <w:szCs w:val="18"/>
              </w:rPr>
              <w:t>OlympiA</w:t>
            </w:r>
            <w:proofErr w:type="spellEnd"/>
            <w:r w:rsidRPr="00D54BDA">
              <w:rPr>
                <w:sz w:val="18"/>
                <w:szCs w:val="18"/>
              </w:rPr>
              <w:t xml:space="preserve"> began enrolling patients with germline </w:t>
            </w:r>
            <w:r w:rsidRPr="00D54BDA">
              <w:rPr>
                <w:i/>
                <w:iCs/>
                <w:sz w:val="18"/>
                <w:szCs w:val="18"/>
              </w:rPr>
              <w:t>BRCA</w:t>
            </w:r>
            <w:r w:rsidRPr="00D54BDA">
              <w:rPr>
                <w:sz w:val="18"/>
                <w:szCs w:val="18"/>
              </w:rPr>
              <w:t xml:space="preserve"> mutated, triple negative or hormone receptor positive HER2-negative breast cancer.</w:t>
            </w:r>
            <w:r w:rsidRPr="00D54BDA">
              <w:rPr>
                <w:sz w:val="18"/>
                <w:szCs w:val="18"/>
                <w:vertAlign w:val="superscript"/>
              </w:rPr>
              <w:t>1,8</w:t>
            </w:r>
          </w:p>
          <w:p w14:paraId="23CF1C12" w14:textId="25C126CB" w:rsidR="00F127F2" w:rsidRPr="00D54BDA" w:rsidRDefault="00F127F2" w:rsidP="008C33E8">
            <w:pPr>
              <w:spacing w:line="240" w:lineRule="auto"/>
              <w:ind w:left="86"/>
              <w:rPr>
                <w:sz w:val="18"/>
                <w:szCs w:val="18"/>
              </w:rPr>
            </w:pPr>
            <w:r w:rsidRPr="00D54BDA">
              <w:rPr>
                <w:sz w:val="18"/>
                <w:szCs w:val="18"/>
              </w:rPr>
              <w:t>This was a monumental trial and a significant international effort to test the efficacy of LYNPARZA in curative setting.</w:t>
            </w:r>
            <w:r w:rsidRPr="00D54BDA">
              <w:rPr>
                <w:sz w:val="18"/>
                <w:szCs w:val="18"/>
                <w:vertAlign w:val="superscript"/>
              </w:rPr>
              <w:t>8</w:t>
            </w:r>
          </w:p>
        </w:tc>
      </w:tr>
    </w:tbl>
    <w:p w14:paraId="0D8773FC" w14:textId="77777777" w:rsidR="00A50AA6" w:rsidRPr="00F127F2" w:rsidRDefault="00A50AA6">
      <w:r w:rsidRPr="00F127F2">
        <w:br w:type="page"/>
      </w:r>
    </w:p>
    <w:tbl>
      <w:tblPr>
        <w:tblW w:w="1341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410"/>
      </w:tblGrid>
      <w:tr w:rsidR="00F127F2" w:rsidRPr="00DE7538" w14:paraId="604AB7A2" w14:textId="77777777" w:rsidTr="00F127F2">
        <w:trPr>
          <w:cantSplit/>
          <w:trHeight w:val="20"/>
        </w:trPr>
        <w:tc>
          <w:tcPr>
            <w:tcW w:w="13410" w:type="dxa"/>
            <w:shd w:val="clear" w:color="auto" w:fill="829BAD" w:themeFill="background2"/>
          </w:tcPr>
          <w:p w14:paraId="51932473" w14:textId="3201E3A8" w:rsidR="00F127F2" w:rsidRPr="00DE7538" w:rsidRDefault="00F127F2" w:rsidP="008C33E8">
            <w:pPr>
              <w:pStyle w:val="BasicParagraph"/>
              <w:suppressAutoHyphens/>
              <w:spacing w:line="240" w:lineRule="auto"/>
              <w:ind w:left="90" w:right="181"/>
              <w:rPr>
                <w:rFonts w:ascii="Karla" w:hAnsi="Karla" w:cs="Karla"/>
                <w:b/>
                <w:bCs/>
                <w:color w:val="041726" w:themeColor="text1"/>
                <w:sz w:val="20"/>
                <w:szCs w:val="20"/>
              </w:rPr>
            </w:pPr>
            <w:r w:rsidRPr="00DE7538">
              <w:rPr>
                <w:rFonts w:asciiTheme="majorHAnsi" w:hAnsiTheme="majorHAnsi"/>
                <w:b/>
                <w:color w:val="FFFFFF" w:themeColor="accent6"/>
                <w:sz w:val="20"/>
              </w:rPr>
              <w:lastRenderedPageBreak/>
              <w:t>Screen 6</w:t>
            </w:r>
          </w:p>
        </w:tc>
      </w:tr>
      <w:tr w:rsidR="00F127F2" w:rsidRPr="00DE7538" w14:paraId="0A39DBD9" w14:textId="77777777" w:rsidTr="00F127F2">
        <w:trPr>
          <w:cantSplit/>
          <w:trHeight w:val="20"/>
        </w:trPr>
        <w:tc>
          <w:tcPr>
            <w:tcW w:w="13410" w:type="dxa"/>
            <w:shd w:val="clear" w:color="auto" w:fill="auto"/>
          </w:tcPr>
          <w:p w14:paraId="4D0D5C19" w14:textId="07570072" w:rsidR="00F127F2" w:rsidRPr="00D54BDA" w:rsidRDefault="00F127F2" w:rsidP="008C33E8">
            <w:pPr>
              <w:pStyle w:val="BasicParagraph"/>
              <w:suppressAutoHyphens/>
              <w:spacing w:line="240" w:lineRule="auto"/>
              <w:ind w:left="90" w:right="181"/>
              <w:rPr>
                <w:rFonts w:asciiTheme="majorHAnsi" w:hAnsiTheme="majorHAnsi"/>
                <w:sz w:val="18"/>
                <w:szCs w:val="18"/>
              </w:rPr>
            </w:pPr>
            <w:r w:rsidRPr="00D54BDA">
              <w:rPr>
                <w:rFonts w:asciiTheme="majorHAnsi" w:hAnsiTheme="majorHAnsi"/>
                <w:sz w:val="18"/>
                <w:szCs w:val="18"/>
              </w:rPr>
              <w:t xml:space="preserve">Results from the landmark </w:t>
            </w:r>
            <w:proofErr w:type="spellStart"/>
            <w:r w:rsidRPr="00D54BDA">
              <w:rPr>
                <w:rFonts w:asciiTheme="majorHAnsi" w:hAnsiTheme="majorHAnsi"/>
                <w:sz w:val="18"/>
                <w:szCs w:val="18"/>
              </w:rPr>
              <w:t>OlympiA</w:t>
            </w:r>
            <w:proofErr w:type="spellEnd"/>
            <w:r w:rsidRPr="00D54BDA">
              <w:rPr>
                <w:rFonts w:asciiTheme="majorHAnsi" w:hAnsiTheme="majorHAnsi"/>
                <w:sz w:val="18"/>
                <w:szCs w:val="18"/>
              </w:rPr>
              <w:t xml:space="preserve"> demonstrated clinically meaningful improvement in disease free survival and eventually also clinically significant improvement in overall survival with one year of adjuvant </w:t>
            </w:r>
            <w:proofErr w:type="spellStart"/>
            <w:r w:rsidRPr="00D54BDA">
              <w:rPr>
                <w:rFonts w:asciiTheme="majorHAnsi" w:hAnsiTheme="majorHAnsi"/>
                <w:sz w:val="18"/>
                <w:szCs w:val="18"/>
              </w:rPr>
              <w:t>olaparib</w:t>
            </w:r>
            <w:proofErr w:type="spellEnd"/>
            <w:r w:rsidRPr="00D54BDA">
              <w:rPr>
                <w:rFonts w:asciiTheme="majorHAnsi" w:hAnsiTheme="majorHAnsi"/>
                <w:sz w:val="18"/>
                <w:szCs w:val="18"/>
              </w:rPr>
              <w:t xml:space="preserve"> compared to placebo. The trial demonstrated the value of precision medicine in an early setting.</w:t>
            </w:r>
            <w:r w:rsidRPr="00D54BDA">
              <w:rPr>
                <w:rFonts w:asciiTheme="majorHAnsi" w:hAnsiTheme="majorHAnsi"/>
                <w:sz w:val="18"/>
                <w:szCs w:val="18"/>
                <w:vertAlign w:val="superscript"/>
              </w:rPr>
              <w:t>1</w:t>
            </w:r>
            <w:r w:rsidRPr="00D54BDA">
              <w:rPr>
                <w:rFonts w:asciiTheme="majorHAnsi" w:hAnsiTheme="majorHAnsi"/>
                <w:color w:val="041726" w:themeColor="text1"/>
                <w:sz w:val="18"/>
                <w:szCs w:val="18"/>
                <w:vertAlign w:val="superscript"/>
              </w:rPr>
              <w:t>,10</w:t>
            </w:r>
          </w:p>
          <w:p w14:paraId="69D704E2" w14:textId="77777777" w:rsidR="00F127F2" w:rsidRPr="00D54BDA" w:rsidRDefault="00F127F2" w:rsidP="008C33E8">
            <w:pPr>
              <w:pStyle w:val="BasicParagraph"/>
              <w:suppressAutoHyphens/>
              <w:spacing w:line="240" w:lineRule="auto"/>
              <w:ind w:left="90" w:right="181"/>
              <w:rPr>
                <w:rFonts w:asciiTheme="majorHAnsi" w:hAnsiTheme="majorHAnsi"/>
                <w:sz w:val="18"/>
                <w:szCs w:val="18"/>
              </w:rPr>
            </w:pPr>
          </w:p>
          <w:p w14:paraId="2D73A0CA" w14:textId="4FCB101D" w:rsidR="00F127F2" w:rsidRPr="00DE7538" w:rsidRDefault="00F127F2" w:rsidP="00A62A1F">
            <w:pPr>
              <w:pStyle w:val="BasicParagraph"/>
              <w:suppressAutoHyphens/>
              <w:spacing w:line="240" w:lineRule="auto"/>
              <w:ind w:left="90" w:right="181"/>
              <w:rPr>
                <w:rFonts w:asciiTheme="majorHAnsi" w:hAnsiTheme="majorHAnsi"/>
                <w:sz w:val="20"/>
                <w:szCs w:val="20"/>
              </w:rPr>
            </w:pPr>
            <w:proofErr w:type="gramStart"/>
            <w:r w:rsidRPr="00D54BDA">
              <w:rPr>
                <w:rFonts w:asciiTheme="majorHAnsi" w:hAnsiTheme="majorHAnsi"/>
                <w:sz w:val="18"/>
                <w:szCs w:val="18"/>
              </w:rPr>
              <w:t>In spite of</w:t>
            </w:r>
            <w:proofErr w:type="gramEnd"/>
            <w:r w:rsidRPr="00D54BDA">
              <w:rPr>
                <w:rFonts w:asciiTheme="majorHAnsi" w:hAnsiTheme="majorHAnsi"/>
                <w:sz w:val="18"/>
                <w:szCs w:val="18"/>
              </w:rPr>
              <w:t xml:space="preserve"> all the advances in the treatment of breast cancer, there have been very few adjuvant treatments in breast cancer that have led to improvement in overall survival, so this was a major milestone for patients.</w:t>
            </w:r>
            <w:r w:rsidRPr="00D54BDA">
              <w:rPr>
                <w:rFonts w:asciiTheme="majorHAnsi" w:hAnsiTheme="majorHAnsi"/>
                <w:sz w:val="18"/>
                <w:szCs w:val="18"/>
                <w:vertAlign w:val="superscript"/>
              </w:rPr>
              <w:t>11-14</w:t>
            </w:r>
          </w:p>
        </w:tc>
      </w:tr>
      <w:tr w:rsidR="00F127F2" w:rsidRPr="00DE7538" w14:paraId="69432F89" w14:textId="77777777" w:rsidTr="00F127F2">
        <w:trPr>
          <w:cantSplit/>
          <w:trHeight w:val="20"/>
        </w:trPr>
        <w:tc>
          <w:tcPr>
            <w:tcW w:w="13410" w:type="dxa"/>
            <w:shd w:val="clear" w:color="auto" w:fill="829BAD" w:themeFill="background2"/>
          </w:tcPr>
          <w:p w14:paraId="571555AB" w14:textId="61EB74CB" w:rsidR="00F127F2" w:rsidRPr="00DE7538" w:rsidRDefault="008C33E8" w:rsidP="00A50AA6">
            <w:pPr>
              <w:pStyle w:val="TableParagraph"/>
              <w:spacing w:before="48" w:line="276" w:lineRule="auto"/>
              <w:ind w:left="60"/>
              <w:rPr>
                <w:rFonts w:asciiTheme="majorHAnsi" w:hAnsiTheme="majorHAnsi"/>
                <w:b/>
                <w:color w:val="FFFFFF" w:themeColor="accent6"/>
                <w:sz w:val="20"/>
              </w:rPr>
            </w:pPr>
            <w:r w:rsidRPr="00DE7538">
              <w:br w:type="page"/>
            </w:r>
            <w:r w:rsidR="00F127F2" w:rsidRPr="00DE7538">
              <w:rPr>
                <w:rFonts w:asciiTheme="majorHAnsi" w:hAnsiTheme="majorHAnsi"/>
                <w:b/>
                <w:color w:val="FFFFFF" w:themeColor="accent6"/>
                <w:sz w:val="20"/>
              </w:rPr>
              <w:t>Screen 7</w:t>
            </w:r>
          </w:p>
        </w:tc>
      </w:tr>
      <w:tr w:rsidR="00F127F2" w:rsidRPr="00DE7538" w14:paraId="70FE00A3" w14:textId="77777777" w:rsidTr="00F127F2">
        <w:trPr>
          <w:cantSplit/>
          <w:trHeight w:val="20"/>
        </w:trPr>
        <w:tc>
          <w:tcPr>
            <w:tcW w:w="13410" w:type="dxa"/>
            <w:shd w:val="clear" w:color="auto" w:fill="auto"/>
          </w:tcPr>
          <w:p w14:paraId="518379C7" w14:textId="7B65A441" w:rsidR="00F127F2" w:rsidRPr="00D54BDA" w:rsidRDefault="00F127F2" w:rsidP="00A50AA6">
            <w:pPr>
              <w:pStyle w:val="TableParagraph"/>
              <w:spacing w:before="48"/>
              <w:ind w:left="60"/>
              <w:rPr>
                <w:rFonts w:asciiTheme="majorHAnsi" w:hAnsiTheme="majorHAnsi"/>
                <w:b/>
                <w:color w:val="FFFFFF" w:themeColor="accent6"/>
                <w:sz w:val="18"/>
                <w:szCs w:val="18"/>
              </w:rPr>
            </w:pPr>
            <w:r w:rsidRPr="00D54BDA">
              <w:rPr>
                <w:rFonts w:asciiTheme="majorHAnsi" w:hAnsiTheme="majorHAnsi"/>
                <w:sz w:val="18"/>
                <w:szCs w:val="18"/>
              </w:rPr>
              <w:t xml:space="preserve">4 years after </w:t>
            </w:r>
            <w:proofErr w:type="spellStart"/>
            <w:r w:rsidRPr="00D54BDA">
              <w:rPr>
                <w:rFonts w:asciiTheme="majorHAnsi" w:hAnsiTheme="majorHAnsi"/>
                <w:sz w:val="18"/>
                <w:szCs w:val="18"/>
              </w:rPr>
              <w:t>OlympiAD</w:t>
            </w:r>
            <w:proofErr w:type="spellEnd"/>
            <w:r w:rsidRPr="00D54BDA">
              <w:rPr>
                <w:rFonts w:asciiTheme="majorHAnsi" w:hAnsiTheme="majorHAnsi"/>
                <w:sz w:val="18"/>
                <w:szCs w:val="18"/>
              </w:rPr>
              <w:t xml:space="preserve">, results from the </w:t>
            </w:r>
            <w:proofErr w:type="spellStart"/>
            <w:r w:rsidRPr="00D54BDA">
              <w:rPr>
                <w:rFonts w:asciiTheme="majorHAnsi" w:hAnsiTheme="majorHAnsi"/>
                <w:sz w:val="18"/>
                <w:szCs w:val="18"/>
              </w:rPr>
              <w:t>OlympiA</w:t>
            </w:r>
            <w:proofErr w:type="spellEnd"/>
            <w:r w:rsidRPr="00D54BDA">
              <w:rPr>
                <w:rFonts w:asciiTheme="majorHAnsi" w:hAnsiTheme="majorHAnsi"/>
                <w:sz w:val="18"/>
                <w:szCs w:val="18"/>
              </w:rPr>
              <w:t xml:space="preserve"> trial led to the 2022 approval of LYNPARZA for patients with </w:t>
            </w:r>
            <w:r w:rsidRPr="00D54BDA">
              <w:rPr>
                <w:rFonts w:asciiTheme="majorHAnsi" w:hAnsiTheme="majorHAnsi"/>
                <w:i/>
                <w:iCs/>
                <w:sz w:val="18"/>
                <w:szCs w:val="18"/>
              </w:rPr>
              <w:t>BRCA1/2</w:t>
            </w:r>
            <w:r w:rsidRPr="00D54BDA">
              <w:rPr>
                <w:rFonts w:asciiTheme="majorHAnsi" w:hAnsiTheme="majorHAnsi"/>
                <w:sz w:val="18"/>
                <w:szCs w:val="18"/>
              </w:rPr>
              <w:t xml:space="preserve"> mutation-associated early-stage breast cancer. This represented a major treatment advance. We </w:t>
            </w:r>
            <w:proofErr w:type="gramStart"/>
            <w:r w:rsidRPr="00D54BDA">
              <w:rPr>
                <w:rFonts w:asciiTheme="majorHAnsi" w:hAnsiTheme="majorHAnsi"/>
                <w:sz w:val="18"/>
                <w:szCs w:val="18"/>
              </w:rPr>
              <w:t>are able to</w:t>
            </w:r>
            <w:proofErr w:type="gramEnd"/>
            <w:r w:rsidRPr="00D54BDA">
              <w:rPr>
                <w:rFonts w:asciiTheme="majorHAnsi" w:hAnsiTheme="majorHAnsi"/>
                <w:sz w:val="18"/>
                <w:szCs w:val="18"/>
              </w:rPr>
              <w:t xml:space="preserve"> use this targeted therapy to treat more patients. In the early-stage setting, drugs that improve overall survival, have such a tremendous impact on natural course of the disease.</w:t>
            </w:r>
            <w:r w:rsidRPr="00D54BDA">
              <w:rPr>
                <w:rFonts w:asciiTheme="majorHAnsi" w:hAnsiTheme="majorHAnsi"/>
                <w:color w:val="041726" w:themeColor="text1"/>
                <w:sz w:val="18"/>
                <w:szCs w:val="18"/>
                <w:vertAlign w:val="superscript"/>
              </w:rPr>
              <w:t>20,21</w:t>
            </w:r>
          </w:p>
        </w:tc>
      </w:tr>
      <w:tr w:rsidR="00F127F2" w:rsidRPr="00DE7538" w14:paraId="3B5FAB96" w14:textId="43ACB0A6" w:rsidTr="00F127F2">
        <w:trPr>
          <w:cantSplit/>
          <w:trHeight w:val="20"/>
        </w:trPr>
        <w:tc>
          <w:tcPr>
            <w:tcW w:w="13410" w:type="dxa"/>
            <w:shd w:val="clear" w:color="auto" w:fill="829BAD" w:themeFill="background2"/>
          </w:tcPr>
          <w:p w14:paraId="64D4004C" w14:textId="61D7B86E" w:rsidR="00F127F2" w:rsidRPr="00DE7538" w:rsidRDefault="00F127F2" w:rsidP="00A50AA6">
            <w:pPr>
              <w:pStyle w:val="TableParagraph"/>
              <w:spacing w:before="48" w:line="276" w:lineRule="auto"/>
              <w:ind w:left="60"/>
              <w:rPr>
                <w:rFonts w:asciiTheme="majorHAnsi" w:hAnsiTheme="majorHAnsi"/>
                <w:b/>
                <w:noProof/>
                <w:color w:val="FFFFFF" w:themeColor="accent6"/>
                <w:sz w:val="20"/>
              </w:rPr>
            </w:pPr>
            <w:r w:rsidRPr="00DE7538">
              <w:rPr>
                <w:rFonts w:asciiTheme="majorHAnsi" w:hAnsiTheme="majorHAnsi"/>
                <w:b/>
                <w:color w:val="FFFFFF" w:themeColor="accent6"/>
                <w:sz w:val="20"/>
              </w:rPr>
              <w:t>Screen 8</w:t>
            </w:r>
          </w:p>
        </w:tc>
      </w:tr>
      <w:tr w:rsidR="00F127F2" w:rsidRPr="00DE7538" w14:paraId="64C26994" w14:textId="032DF081" w:rsidTr="00F127F2">
        <w:trPr>
          <w:cantSplit/>
          <w:trHeight w:val="20"/>
        </w:trPr>
        <w:tc>
          <w:tcPr>
            <w:tcW w:w="13410" w:type="dxa"/>
            <w:shd w:val="clear" w:color="auto" w:fill="auto"/>
          </w:tcPr>
          <w:p w14:paraId="604671FB" w14:textId="7A9DD7E4" w:rsidR="00F127F2" w:rsidRPr="00D54BDA" w:rsidRDefault="00F127F2" w:rsidP="00A50AA6">
            <w:pPr>
              <w:spacing w:line="240" w:lineRule="auto"/>
              <w:ind w:left="86"/>
              <w:rPr>
                <w:sz w:val="18"/>
                <w:szCs w:val="18"/>
              </w:rPr>
            </w:pPr>
            <w:r w:rsidRPr="00D54BDA">
              <w:rPr>
                <w:sz w:val="18"/>
                <w:szCs w:val="18"/>
              </w:rPr>
              <w:t>Based on this subsequent approval, further refinements were made in recommendations for genetic testing, paving the way to where we are today. While t</w:t>
            </w:r>
            <w:r w:rsidRPr="00D54BDA">
              <w:rPr>
                <w:sz w:val="18"/>
                <w:szCs w:val="18"/>
                <w:lang w:val="en-CA"/>
              </w:rPr>
              <w:t xml:space="preserve">here is some variability among guidelines, recommendations </w:t>
            </w:r>
            <w:r w:rsidRPr="00D54BDA">
              <w:rPr>
                <w:sz w:val="18"/>
                <w:szCs w:val="18"/>
              </w:rPr>
              <w:t xml:space="preserve">include testing for all patients with metastatic breast cancer. In early-stage setting, recommendations include testing for patients with triple negative breast cancer and for patients with hormone positive breast cancer if they meet the risk criteria for adjuvant LYNPARZA based on the </w:t>
            </w:r>
            <w:proofErr w:type="spellStart"/>
            <w:r w:rsidRPr="00D54BDA">
              <w:rPr>
                <w:sz w:val="18"/>
                <w:szCs w:val="18"/>
              </w:rPr>
              <w:t>OlympiaA</w:t>
            </w:r>
            <w:proofErr w:type="spellEnd"/>
            <w:r w:rsidRPr="00D54BDA">
              <w:rPr>
                <w:sz w:val="18"/>
                <w:szCs w:val="18"/>
              </w:rPr>
              <w:t xml:space="preserve"> eligibility. It's not just based on family history, but if patients with hormone positive breast cancer meet the criteria in terms of the number of positive nodes or amount of residual disease after preoperative chemotherapy, they are candidates for </w:t>
            </w:r>
            <w:proofErr w:type="spellStart"/>
            <w:r w:rsidRPr="00D54BDA">
              <w:rPr>
                <w:sz w:val="18"/>
                <w:szCs w:val="18"/>
              </w:rPr>
              <w:t>g</w:t>
            </w:r>
            <w:r w:rsidRPr="00D54BDA">
              <w:rPr>
                <w:i/>
                <w:iCs/>
                <w:sz w:val="18"/>
                <w:szCs w:val="18"/>
              </w:rPr>
              <w:t>BRCA</w:t>
            </w:r>
            <w:proofErr w:type="spellEnd"/>
            <w:r w:rsidRPr="00D54BDA">
              <w:rPr>
                <w:sz w:val="18"/>
                <w:szCs w:val="18"/>
              </w:rPr>
              <w:t xml:space="preserve"> testing. Regardless of family history, these individuals should be tested to ensure that we are not missing an opportunity to prescribe a targeted treatment that improves survival.</w:t>
            </w:r>
            <w:r w:rsidRPr="00D54BDA">
              <w:rPr>
                <w:color w:val="041726" w:themeColor="text1"/>
                <w:sz w:val="18"/>
                <w:szCs w:val="18"/>
                <w:vertAlign w:val="superscript"/>
              </w:rPr>
              <w:t>8,22</w:t>
            </w:r>
          </w:p>
        </w:tc>
      </w:tr>
      <w:tr w:rsidR="00F127F2" w:rsidRPr="00DE7538" w14:paraId="516F1A70" w14:textId="77777777" w:rsidTr="00F127F2">
        <w:trPr>
          <w:cantSplit/>
          <w:trHeight w:val="317"/>
        </w:trPr>
        <w:tc>
          <w:tcPr>
            <w:tcW w:w="13410" w:type="dxa"/>
            <w:shd w:val="clear" w:color="auto" w:fill="829BAD" w:themeFill="background2"/>
          </w:tcPr>
          <w:p w14:paraId="10F5EA00" w14:textId="3A53756E" w:rsidR="00F127F2" w:rsidRPr="00DE7538" w:rsidRDefault="002D2989" w:rsidP="00A50AA6">
            <w:pPr>
              <w:pStyle w:val="BasicParagraph"/>
              <w:suppressAutoHyphens/>
              <w:spacing w:line="240" w:lineRule="auto"/>
              <w:ind w:left="90" w:right="181"/>
              <w:rPr>
                <w:rFonts w:ascii="Karla" w:hAnsi="Karla" w:cs="Karla"/>
                <w:b/>
                <w:bCs/>
                <w:color w:val="041726" w:themeColor="text1"/>
                <w:sz w:val="20"/>
                <w:szCs w:val="20"/>
              </w:rPr>
            </w:pPr>
            <w:r w:rsidRPr="00DE7538">
              <w:br w:type="page"/>
            </w:r>
            <w:r w:rsidR="00F127F2" w:rsidRPr="00DE7538">
              <w:rPr>
                <w:rFonts w:asciiTheme="majorHAnsi" w:hAnsiTheme="majorHAnsi"/>
                <w:b/>
                <w:color w:val="FFFFFF" w:themeColor="accent6"/>
                <w:sz w:val="20"/>
              </w:rPr>
              <w:t xml:space="preserve">Screen </w:t>
            </w:r>
            <w:r w:rsidR="00F127F2">
              <w:rPr>
                <w:rFonts w:asciiTheme="majorHAnsi" w:hAnsiTheme="majorHAnsi"/>
                <w:b/>
                <w:color w:val="FFFFFF" w:themeColor="accent6"/>
                <w:sz w:val="20"/>
              </w:rPr>
              <w:t>9</w:t>
            </w:r>
          </w:p>
        </w:tc>
      </w:tr>
      <w:tr w:rsidR="00F127F2" w:rsidRPr="00DE7538" w14:paraId="5FD5AD8F" w14:textId="77777777" w:rsidTr="00F127F2">
        <w:trPr>
          <w:cantSplit/>
          <w:trHeight w:val="360"/>
        </w:trPr>
        <w:tc>
          <w:tcPr>
            <w:tcW w:w="13410" w:type="dxa"/>
            <w:shd w:val="clear" w:color="auto" w:fill="auto"/>
          </w:tcPr>
          <w:p w14:paraId="2672A2A8" w14:textId="21AF3303" w:rsidR="00F127F2" w:rsidRPr="00D54BDA" w:rsidRDefault="00F127F2" w:rsidP="00D9258F">
            <w:pPr>
              <w:spacing w:line="240" w:lineRule="auto"/>
              <w:ind w:left="86"/>
              <w:rPr>
                <w:strike/>
                <w:sz w:val="18"/>
                <w:szCs w:val="18"/>
              </w:rPr>
            </w:pPr>
            <w:r w:rsidRPr="00D54BDA">
              <w:rPr>
                <w:sz w:val="18"/>
                <w:szCs w:val="18"/>
              </w:rPr>
              <w:t xml:space="preserve">In my clinical practice, LYNPARZA is </w:t>
            </w:r>
            <w:proofErr w:type="gramStart"/>
            <w:r w:rsidRPr="00D54BDA">
              <w:rPr>
                <w:sz w:val="18"/>
                <w:szCs w:val="18"/>
              </w:rPr>
              <w:t>fairly well</w:t>
            </w:r>
            <w:proofErr w:type="gramEnd"/>
            <w:r w:rsidRPr="00D54BDA">
              <w:rPr>
                <w:sz w:val="18"/>
                <w:szCs w:val="18"/>
              </w:rPr>
              <w:t xml:space="preserve"> tolerated. It's got nausea, fatigue, impact on hemoglobin and blood counts.</w:t>
            </w:r>
            <w:r w:rsidRPr="00D54BDA">
              <w:rPr>
                <w:sz w:val="18"/>
                <w:szCs w:val="18"/>
                <w:vertAlign w:val="superscript"/>
              </w:rPr>
              <w:t>1</w:t>
            </w:r>
          </w:p>
        </w:tc>
      </w:tr>
      <w:tr w:rsidR="00F127F2" w:rsidRPr="00DE7538" w14:paraId="0D0EAB07" w14:textId="77777777" w:rsidTr="00F127F2">
        <w:trPr>
          <w:cantSplit/>
          <w:trHeight w:val="317"/>
        </w:trPr>
        <w:tc>
          <w:tcPr>
            <w:tcW w:w="13410" w:type="dxa"/>
            <w:shd w:val="clear" w:color="auto" w:fill="829BAD" w:themeFill="background2"/>
          </w:tcPr>
          <w:p w14:paraId="1FA0F751" w14:textId="3DB346C8" w:rsidR="00F127F2" w:rsidRPr="00DE7538" w:rsidRDefault="00F127F2" w:rsidP="00A50AA6">
            <w:pPr>
              <w:pStyle w:val="BasicParagraph"/>
              <w:suppressAutoHyphens/>
              <w:spacing w:line="240" w:lineRule="auto"/>
              <w:ind w:left="90" w:right="181"/>
              <w:rPr>
                <w:rFonts w:ascii="Karla" w:hAnsi="Karla" w:cs="Karla"/>
                <w:b/>
                <w:bCs/>
                <w:color w:val="041726" w:themeColor="text1"/>
                <w:sz w:val="20"/>
                <w:szCs w:val="20"/>
              </w:rPr>
            </w:pPr>
            <w:r>
              <w:br w:type="page"/>
            </w:r>
            <w:r w:rsidRPr="00DE7538">
              <w:rPr>
                <w:rFonts w:asciiTheme="majorHAnsi" w:hAnsiTheme="majorHAnsi"/>
                <w:b/>
                <w:color w:val="FFFFFF" w:themeColor="accent6"/>
                <w:sz w:val="20"/>
              </w:rPr>
              <w:t>Screen 1</w:t>
            </w:r>
            <w:r>
              <w:rPr>
                <w:rFonts w:asciiTheme="majorHAnsi" w:hAnsiTheme="majorHAnsi"/>
                <w:b/>
                <w:color w:val="FFFFFF" w:themeColor="accent6"/>
                <w:sz w:val="20"/>
              </w:rPr>
              <w:t>0</w:t>
            </w:r>
          </w:p>
        </w:tc>
      </w:tr>
      <w:tr w:rsidR="00F127F2" w:rsidRPr="00DE7538" w14:paraId="06761221" w14:textId="77777777" w:rsidTr="00F127F2">
        <w:trPr>
          <w:cantSplit/>
          <w:trHeight w:val="317"/>
        </w:trPr>
        <w:tc>
          <w:tcPr>
            <w:tcW w:w="13410" w:type="dxa"/>
            <w:shd w:val="clear" w:color="auto" w:fill="auto"/>
          </w:tcPr>
          <w:p w14:paraId="0BBA7A8A" w14:textId="147032DA" w:rsidR="00F127F2" w:rsidRPr="00D54BDA" w:rsidRDefault="00F127F2" w:rsidP="00D9258F">
            <w:pPr>
              <w:spacing w:line="240" w:lineRule="auto"/>
              <w:ind w:left="86"/>
              <w:rPr>
                <w:color w:val="C00000"/>
                <w:sz w:val="18"/>
                <w:szCs w:val="18"/>
              </w:rPr>
            </w:pPr>
            <w:r w:rsidRPr="00D54BDA">
              <w:rPr>
                <w:sz w:val="18"/>
                <w:szCs w:val="18"/>
              </w:rPr>
              <w:t>The field continues to move forward, and we look for better treatments for our patients. There are some phase 2 trials that have looked at PARP inhibitors in the neoadjuvant setting as a chemotherapy free regimen and shown interesting results. It's not something we currently use in clinic, but it’s an area of expanding research.</w:t>
            </w:r>
            <w:r w:rsidRPr="00D54BDA">
              <w:rPr>
                <w:sz w:val="18"/>
                <w:szCs w:val="18"/>
                <w:vertAlign w:val="superscript"/>
              </w:rPr>
              <w:t>23,24</w:t>
            </w:r>
          </w:p>
        </w:tc>
      </w:tr>
      <w:tr w:rsidR="00F127F2" w:rsidRPr="00DE7538" w14:paraId="7DB4B5C2" w14:textId="2F50DD3D" w:rsidTr="00F127F2">
        <w:trPr>
          <w:cantSplit/>
          <w:trHeight w:val="20"/>
        </w:trPr>
        <w:tc>
          <w:tcPr>
            <w:tcW w:w="13410" w:type="dxa"/>
            <w:shd w:val="clear" w:color="auto" w:fill="829BAD" w:themeFill="background2"/>
          </w:tcPr>
          <w:p w14:paraId="1CDC7262" w14:textId="77817D5D" w:rsidR="00F127F2" w:rsidRPr="00DE7538" w:rsidRDefault="00F127F2" w:rsidP="00302BE0">
            <w:pPr>
              <w:pStyle w:val="TableParagraph"/>
              <w:spacing w:before="48" w:line="276" w:lineRule="auto"/>
              <w:ind w:left="0"/>
              <w:rPr>
                <w:rFonts w:asciiTheme="majorHAnsi" w:hAnsiTheme="majorHAnsi"/>
                <w:b/>
                <w:noProof/>
                <w:color w:val="FFFFFF" w:themeColor="accent6"/>
                <w:sz w:val="20"/>
              </w:rPr>
            </w:pPr>
            <w:r w:rsidRPr="00DE7538">
              <w:br w:type="page"/>
            </w:r>
            <w:r w:rsidRPr="00DE7538">
              <w:rPr>
                <w:rFonts w:asciiTheme="majorHAnsi" w:hAnsiTheme="majorHAnsi"/>
                <w:b/>
                <w:color w:val="FFFFFF" w:themeColor="accent6"/>
                <w:sz w:val="20"/>
              </w:rPr>
              <w:t>Screen 1</w:t>
            </w:r>
            <w:r>
              <w:rPr>
                <w:rFonts w:asciiTheme="majorHAnsi" w:hAnsiTheme="majorHAnsi"/>
                <w:b/>
                <w:color w:val="FFFFFF" w:themeColor="accent6"/>
                <w:sz w:val="20"/>
              </w:rPr>
              <w:t>1</w:t>
            </w:r>
          </w:p>
        </w:tc>
      </w:tr>
      <w:tr w:rsidR="00F127F2" w:rsidRPr="00DE7538" w14:paraId="34E0E576" w14:textId="7195A5FB" w:rsidTr="00F127F2">
        <w:trPr>
          <w:cantSplit/>
          <w:trHeight w:val="20"/>
        </w:trPr>
        <w:tc>
          <w:tcPr>
            <w:tcW w:w="13410" w:type="dxa"/>
            <w:shd w:val="clear" w:color="auto" w:fill="auto"/>
          </w:tcPr>
          <w:p w14:paraId="357C316D" w14:textId="36E9C966" w:rsidR="00F127F2" w:rsidRPr="00D54BDA" w:rsidRDefault="00F127F2" w:rsidP="00302BE0">
            <w:pPr>
              <w:spacing w:line="240" w:lineRule="auto"/>
              <w:ind w:left="86"/>
              <w:rPr>
                <w:sz w:val="18"/>
                <w:szCs w:val="18"/>
              </w:rPr>
            </w:pPr>
            <w:r w:rsidRPr="00D54BDA">
              <w:rPr>
                <w:sz w:val="18"/>
                <w:szCs w:val="18"/>
              </w:rPr>
              <w:t xml:space="preserve">In general, my experience with LYNPARZA in clinic has been very positive. It is a very tolerable oral drug for our patients. And it's quite efficacious in appropriately selected patients. </w:t>
            </w:r>
          </w:p>
          <w:p w14:paraId="18ADDC86" w14:textId="46C658BC" w:rsidR="00F127F2" w:rsidRPr="00D54BDA" w:rsidRDefault="00F127F2" w:rsidP="00302BE0">
            <w:pPr>
              <w:spacing w:line="240" w:lineRule="auto"/>
              <w:ind w:left="86"/>
              <w:rPr>
                <w:sz w:val="18"/>
                <w:szCs w:val="18"/>
              </w:rPr>
            </w:pPr>
            <w:r w:rsidRPr="00D54BDA">
              <w:rPr>
                <w:sz w:val="18"/>
                <w:szCs w:val="18"/>
              </w:rPr>
              <w:t xml:space="preserve">In other cancers, specifically ovarian and prostate, the indications are wider than just germline </w:t>
            </w:r>
            <w:r w:rsidRPr="00D54BDA">
              <w:rPr>
                <w:i/>
                <w:iCs/>
                <w:sz w:val="18"/>
                <w:szCs w:val="18"/>
              </w:rPr>
              <w:t>BRCA</w:t>
            </w:r>
            <w:r w:rsidRPr="00D54BDA">
              <w:rPr>
                <w:sz w:val="18"/>
                <w:szCs w:val="18"/>
              </w:rPr>
              <w:t xml:space="preserve"> mutation. In breast cancer, the data from phase 2 trials in patients with somatic </w:t>
            </w:r>
            <w:r w:rsidRPr="00D54BDA">
              <w:rPr>
                <w:i/>
                <w:iCs/>
                <w:sz w:val="18"/>
                <w:szCs w:val="18"/>
              </w:rPr>
              <w:t xml:space="preserve">BRCA </w:t>
            </w:r>
            <w:r w:rsidRPr="00D54BDA">
              <w:rPr>
                <w:sz w:val="18"/>
                <w:szCs w:val="18"/>
              </w:rPr>
              <w:t>mutations</w:t>
            </w:r>
            <w:r w:rsidRPr="00D54BDA">
              <w:rPr>
                <w:i/>
                <w:iCs/>
                <w:sz w:val="18"/>
                <w:szCs w:val="18"/>
              </w:rPr>
              <w:t xml:space="preserve"> </w:t>
            </w:r>
            <w:r w:rsidRPr="00D54BDA">
              <w:rPr>
                <w:sz w:val="18"/>
                <w:szCs w:val="18"/>
              </w:rPr>
              <w:t>looks quite promising.</w:t>
            </w:r>
            <w:r w:rsidRPr="00D54BDA">
              <w:rPr>
                <w:sz w:val="18"/>
                <w:szCs w:val="18"/>
                <w:vertAlign w:val="superscript"/>
              </w:rPr>
              <w:t>1,25</w:t>
            </w:r>
          </w:p>
        </w:tc>
      </w:tr>
    </w:tbl>
    <w:p w14:paraId="4C09AC02" w14:textId="77777777" w:rsidR="001A532C" w:rsidRDefault="001A532C">
      <w:r>
        <w:br w:type="page"/>
      </w:r>
    </w:p>
    <w:tbl>
      <w:tblPr>
        <w:tblW w:w="1341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410"/>
      </w:tblGrid>
      <w:tr w:rsidR="00F127F2" w:rsidRPr="00DE7538" w14:paraId="35F2050E" w14:textId="77777777" w:rsidTr="00F127F2">
        <w:trPr>
          <w:cantSplit/>
          <w:trHeight w:val="20"/>
        </w:trPr>
        <w:tc>
          <w:tcPr>
            <w:tcW w:w="13410" w:type="dxa"/>
            <w:shd w:val="clear" w:color="auto" w:fill="829BAD" w:themeFill="background2"/>
          </w:tcPr>
          <w:p w14:paraId="7FED4048" w14:textId="2BD2AB7D" w:rsidR="00F127F2" w:rsidRPr="00DE7538" w:rsidRDefault="00F127F2" w:rsidP="00302BE0">
            <w:pPr>
              <w:pStyle w:val="TableParagraph"/>
              <w:spacing w:before="48" w:line="276" w:lineRule="auto"/>
              <w:ind w:left="60"/>
              <w:rPr>
                <w:rFonts w:asciiTheme="majorHAnsi" w:hAnsiTheme="majorHAnsi"/>
                <w:b/>
                <w:color w:val="FFFFFF" w:themeColor="accent6"/>
                <w:sz w:val="20"/>
              </w:rPr>
            </w:pPr>
            <w:r w:rsidRPr="00DE7538">
              <w:rPr>
                <w:rFonts w:asciiTheme="majorHAnsi" w:hAnsiTheme="majorHAnsi"/>
                <w:b/>
                <w:color w:val="FFFFFF" w:themeColor="accent6"/>
                <w:sz w:val="20"/>
              </w:rPr>
              <w:lastRenderedPageBreak/>
              <w:t>Screen 1</w:t>
            </w:r>
            <w:r>
              <w:rPr>
                <w:rFonts w:asciiTheme="majorHAnsi" w:hAnsiTheme="majorHAnsi"/>
                <w:b/>
                <w:color w:val="FFFFFF" w:themeColor="accent6"/>
                <w:sz w:val="20"/>
              </w:rPr>
              <w:t>2</w:t>
            </w:r>
          </w:p>
        </w:tc>
      </w:tr>
      <w:tr w:rsidR="00F127F2" w:rsidRPr="00DE7538" w14:paraId="7ADE2E7A" w14:textId="77777777" w:rsidTr="00F127F2">
        <w:trPr>
          <w:cantSplit/>
          <w:trHeight w:val="20"/>
        </w:trPr>
        <w:tc>
          <w:tcPr>
            <w:tcW w:w="13410" w:type="dxa"/>
            <w:shd w:val="clear" w:color="auto" w:fill="auto"/>
          </w:tcPr>
          <w:p w14:paraId="3087E061" w14:textId="4E81E062" w:rsidR="00F127F2" w:rsidRPr="00D54BDA" w:rsidRDefault="00F127F2" w:rsidP="00F127F2">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 xml:space="preserve">I would like to share a case of a patient who was treated with LYNPARZA. A 56-year-old woman was diagnosed with pT2N2 HR+, HER2- breast cancer. She underwent a bilateral mastectomy with reconstruction and received adjuvant AC-T followed by 5 years of aromatase inhibitor therapy. Her family history was significant only for her mother who had ovarian cancer, but there was no family history of breast cancer.  </w:t>
            </w:r>
          </w:p>
          <w:p w14:paraId="7A95F21B" w14:textId="6789E983" w:rsidR="00F127F2" w:rsidRPr="00D54BDA" w:rsidRDefault="00F127F2" w:rsidP="00F127F2">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 xml:space="preserve">Two years after stopping adjuvant AI therapy, she developed osseous metastasis and two small pulmonary nodules. She was treated with first line endocrine therapy with AI plus a CDK46 inhibitor, which resulted in disease control for 2.5 years. At that point, she began to show progression in osseous disease and developed malignant pleural effusion. Her care was transferred to a new institution, where they performed germline testing, which showed that she had a pathogenic germline </w:t>
            </w:r>
            <w:r w:rsidRPr="00D54BDA">
              <w:rPr>
                <w:rFonts w:asciiTheme="minorHAnsi" w:eastAsiaTheme="minorHAnsi" w:hAnsiTheme="minorHAnsi" w:cstheme="minorBidi"/>
                <w:i/>
                <w:iCs/>
                <w:sz w:val="18"/>
                <w:szCs w:val="18"/>
              </w:rPr>
              <w:t>BRCA2</w:t>
            </w:r>
            <w:r w:rsidRPr="00D54BDA">
              <w:rPr>
                <w:rFonts w:asciiTheme="minorHAnsi" w:eastAsiaTheme="minorHAnsi" w:hAnsiTheme="minorHAnsi" w:cstheme="minorBidi"/>
                <w:sz w:val="18"/>
                <w:szCs w:val="18"/>
              </w:rPr>
              <w:t xml:space="preserve"> mutation. </w:t>
            </w:r>
          </w:p>
          <w:p w14:paraId="12D8B1B0" w14:textId="68F07584" w:rsidR="00F127F2" w:rsidRPr="00D54BDA" w:rsidRDefault="00F127F2" w:rsidP="005C5B58">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 xml:space="preserve">The patient was started on then recently approved LYNPARZA for her metastatic breast cancer and had disease control for 2 years. She experienced mild nausea, which was managed with antiemetics. 4 months after starting LYNPARZA, her hemoglobin dropped to 6.6 but she showed no signs or symptoms of bleeding. LYNPARZA was paused for 3 weeks until her hemoglobin count rose to &gt;10, and LYNPARZA was started at one dose level reduction, which the patient was able to tolerate for the rest of her therapy for another year when eventually there was progression of the cancer.  </w:t>
            </w:r>
          </w:p>
          <w:p w14:paraId="01D26968" w14:textId="695E32CD" w:rsidR="00F127F2" w:rsidRPr="00DE7538" w:rsidRDefault="00F127F2" w:rsidP="002D1D3D">
            <w:pPr>
              <w:pStyle w:val="TableParagraph"/>
              <w:spacing w:before="48"/>
              <w:ind w:left="60"/>
              <w:rPr>
                <w:rFonts w:asciiTheme="majorHAnsi" w:hAnsiTheme="majorHAnsi"/>
                <w:bCs/>
                <w:sz w:val="20"/>
              </w:rPr>
            </w:pPr>
            <w:r w:rsidRPr="00D54BDA">
              <w:rPr>
                <w:rFonts w:asciiTheme="minorHAnsi" w:eastAsiaTheme="minorHAnsi" w:hAnsiTheme="minorHAnsi" w:cstheme="minorBidi"/>
                <w:sz w:val="18"/>
                <w:szCs w:val="18"/>
              </w:rPr>
              <w:t xml:space="preserve">Cascade testing was performed for her family and showed one of her two daughters also had a germline </w:t>
            </w:r>
            <w:r w:rsidRPr="00D54BDA">
              <w:rPr>
                <w:rFonts w:asciiTheme="minorHAnsi" w:eastAsiaTheme="minorHAnsi" w:hAnsiTheme="minorHAnsi" w:cstheme="minorBidi"/>
                <w:i/>
                <w:iCs/>
                <w:sz w:val="18"/>
                <w:szCs w:val="18"/>
              </w:rPr>
              <w:t>BRCA2</w:t>
            </w:r>
            <w:r w:rsidRPr="00D54BDA">
              <w:rPr>
                <w:rFonts w:asciiTheme="minorHAnsi" w:eastAsiaTheme="minorHAnsi" w:hAnsiTheme="minorHAnsi" w:cstheme="minorBidi"/>
                <w:sz w:val="18"/>
                <w:szCs w:val="18"/>
              </w:rPr>
              <w:t xml:space="preserve"> mutation.</w:t>
            </w:r>
            <w:r w:rsidRPr="00D54BDA">
              <w:rPr>
                <w:rFonts w:asciiTheme="majorHAnsi" w:hAnsiTheme="majorHAnsi"/>
                <w:bCs/>
                <w:sz w:val="18"/>
                <w:szCs w:val="20"/>
              </w:rPr>
              <w:t xml:space="preserve">  Clearly the genetic testing information was helpful not just for the patient for also very informative for her family </w:t>
            </w:r>
          </w:p>
        </w:tc>
      </w:tr>
      <w:tr w:rsidR="00F127F2" w:rsidRPr="00DE7538" w14:paraId="6A333D12" w14:textId="42841013" w:rsidTr="00F127F2">
        <w:trPr>
          <w:cantSplit/>
          <w:trHeight w:val="20"/>
        </w:trPr>
        <w:tc>
          <w:tcPr>
            <w:tcW w:w="13410" w:type="dxa"/>
            <w:shd w:val="clear" w:color="auto" w:fill="829BAD" w:themeFill="background2"/>
          </w:tcPr>
          <w:p w14:paraId="06B3FCAF" w14:textId="3D628FAA" w:rsidR="00F127F2" w:rsidRPr="00DE7538" w:rsidRDefault="00F127F2" w:rsidP="00302BE0">
            <w:pPr>
              <w:pStyle w:val="TableParagraph"/>
              <w:spacing w:before="48" w:line="276" w:lineRule="auto"/>
              <w:ind w:left="60"/>
              <w:rPr>
                <w:rFonts w:asciiTheme="majorHAnsi" w:hAnsiTheme="majorHAnsi"/>
                <w:b/>
                <w:color w:val="FFFFFF" w:themeColor="accent6"/>
                <w:sz w:val="20"/>
              </w:rPr>
            </w:pPr>
            <w:r w:rsidRPr="00DE7538">
              <w:rPr>
                <w:rFonts w:asciiTheme="majorHAnsi" w:hAnsiTheme="majorHAnsi"/>
                <w:b/>
                <w:color w:val="FFFFFF" w:themeColor="accent6"/>
                <w:sz w:val="20"/>
              </w:rPr>
              <w:t>Screen 1</w:t>
            </w:r>
            <w:r>
              <w:rPr>
                <w:rFonts w:asciiTheme="majorHAnsi" w:hAnsiTheme="majorHAnsi"/>
                <w:b/>
                <w:color w:val="FFFFFF" w:themeColor="accent6"/>
                <w:sz w:val="20"/>
              </w:rPr>
              <w:t>3</w:t>
            </w:r>
          </w:p>
        </w:tc>
      </w:tr>
      <w:tr w:rsidR="00F127F2" w:rsidRPr="00DE7538" w14:paraId="29E49B1F" w14:textId="703948A1" w:rsidTr="00F127F2">
        <w:trPr>
          <w:cantSplit/>
          <w:trHeight w:val="20"/>
        </w:trPr>
        <w:tc>
          <w:tcPr>
            <w:tcW w:w="13410" w:type="dxa"/>
            <w:shd w:val="clear" w:color="auto" w:fill="auto"/>
          </w:tcPr>
          <w:p w14:paraId="7030FF83" w14:textId="74D6FF6D" w:rsidR="00F127F2" w:rsidRPr="00D54BDA" w:rsidRDefault="00F127F2" w:rsidP="00302BE0">
            <w:pPr>
              <w:spacing w:line="240" w:lineRule="auto"/>
              <w:ind w:left="86"/>
              <w:rPr>
                <w:sz w:val="18"/>
                <w:szCs w:val="18"/>
              </w:rPr>
            </w:pPr>
            <w:r w:rsidRPr="00D54BDA">
              <w:rPr>
                <w:sz w:val="18"/>
                <w:szCs w:val="18"/>
              </w:rPr>
              <w:t xml:space="preserve">In terms of where I see LYNPARZA headed in the future, the first aspect is expanding the use of germline </w:t>
            </w:r>
            <w:r w:rsidRPr="00D54BDA">
              <w:rPr>
                <w:i/>
                <w:iCs/>
                <w:sz w:val="18"/>
                <w:szCs w:val="18"/>
              </w:rPr>
              <w:t>BRCA</w:t>
            </w:r>
            <w:r w:rsidRPr="00D54BDA">
              <w:rPr>
                <w:sz w:val="18"/>
                <w:szCs w:val="18"/>
              </w:rPr>
              <w:t xml:space="preserve"> testing to all appropriate patients. While in academic clinics, we often do well with proactive testing for patients with triple negative breast cancer, there are many missed opportunities in patients with metastatic disease and HR+ early-stage patients who don't receive </w:t>
            </w:r>
            <w:r w:rsidRPr="00D54BDA">
              <w:rPr>
                <w:i/>
                <w:iCs/>
                <w:sz w:val="18"/>
                <w:szCs w:val="18"/>
              </w:rPr>
              <w:t>BRCA</w:t>
            </w:r>
            <w:r w:rsidRPr="00D54BDA">
              <w:rPr>
                <w:sz w:val="18"/>
                <w:szCs w:val="18"/>
              </w:rPr>
              <w:t xml:space="preserve"> testing. </w:t>
            </w:r>
          </w:p>
          <w:p w14:paraId="54771F29" w14:textId="639FA4F8" w:rsidR="00F127F2" w:rsidRPr="00D54BDA" w:rsidRDefault="00F127F2" w:rsidP="00F127F2">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 xml:space="preserve">Additionally, oncologists are time strapped and may not have access to the required resources and infrastructure to offer/refer for genetic testing. Historically, genetic testing when only used for cancer risk counseling was done by genetic counselors, which limits access for many patients who may not be able to get an appointment with a genetic counselor in a timely fashion, don’t have access to counselors or have to wait weeks to get tested, or simply just fall through the cracks because they are too overwhelmed with cancer diagnosis and could not get to yet another appointment with a provider.  In patients with breast cancer </w:t>
            </w:r>
            <w:r w:rsidRPr="00D54BDA">
              <w:rPr>
                <w:rFonts w:asciiTheme="minorHAnsi" w:eastAsiaTheme="minorHAnsi" w:hAnsiTheme="minorHAnsi" w:cstheme="minorBidi"/>
                <w:i/>
                <w:iCs/>
                <w:sz w:val="18"/>
                <w:szCs w:val="18"/>
              </w:rPr>
              <w:t>BRCA</w:t>
            </w:r>
            <w:r w:rsidRPr="00D54BDA">
              <w:rPr>
                <w:rFonts w:asciiTheme="minorHAnsi" w:eastAsiaTheme="minorHAnsi" w:hAnsiTheme="minorHAnsi" w:cstheme="minorBidi"/>
                <w:sz w:val="18"/>
                <w:szCs w:val="18"/>
              </w:rPr>
              <w:t xml:space="preserve"> testing’s main purpose is to inform treatment of cancer and an easier process which is not burdensome for patients is desirable.  </w:t>
            </w:r>
          </w:p>
          <w:p w14:paraId="13F1EE88" w14:textId="7CFAC107" w:rsidR="00F127F2" w:rsidRPr="00D54BDA" w:rsidRDefault="00F127F2" w:rsidP="00F127F2">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Many practices now have a point-of-care testing initiated by treating providers (</w:t>
            </w:r>
            <w:proofErr w:type="spellStart"/>
            <w:r w:rsidRPr="00D54BDA">
              <w:rPr>
                <w:rFonts w:asciiTheme="minorHAnsi" w:eastAsiaTheme="minorHAnsi" w:hAnsiTheme="minorHAnsi" w:cstheme="minorBidi"/>
                <w:sz w:val="18"/>
                <w:szCs w:val="18"/>
              </w:rPr>
              <w:t>eg</w:t>
            </w:r>
            <w:proofErr w:type="spellEnd"/>
            <w:r w:rsidRPr="00D54BDA">
              <w:rPr>
                <w:rFonts w:asciiTheme="minorHAnsi" w:eastAsiaTheme="minorHAnsi" w:hAnsiTheme="minorHAnsi" w:cstheme="minorBidi"/>
                <w:sz w:val="18"/>
                <w:szCs w:val="18"/>
              </w:rPr>
              <w:t xml:space="preserve"> by oncologist, surgeons, physician extenders) to expedite the testing and to make the process easy for the patients. Efforts are being made to integrate genetic testing into routine oncology workflow; however, a lot more work needs to be to be done to improve testing rates.</w:t>
            </w:r>
            <w:r w:rsidRPr="00D54BDA">
              <w:rPr>
                <w:rFonts w:asciiTheme="minorHAnsi" w:eastAsiaTheme="minorHAnsi" w:hAnsiTheme="minorHAnsi" w:cstheme="minorBidi"/>
                <w:sz w:val="18"/>
                <w:szCs w:val="18"/>
                <w:vertAlign w:val="superscript"/>
              </w:rPr>
              <w:t>26</w:t>
            </w:r>
          </w:p>
          <w:p w14:paraId="148E140E" w14:textId="6FFAB8DA" w:rsidR="00F127F2" w:rsidRPr="00D54BDA" w:rsidRDefault="00F127F2" w:rsidP="00F127F2">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 xml:space="preserve">Most patients with metastatic breast cancer are getting somatic tumor or </w:t>
            </w:r>
            <w:proofErr w:type="spellStart"/>
            <w:r w:rsidRPr="00D54BDA">
              <w:rPr>
                <w:rFonts w:asciiTheme="minorHAnsi" w:eastAsiaTheme="minorHAnsi" w:hAnsiTheme="minorHAnsi" w:cstheme="minorBidi"/>
                <w:sz w:val="18"/>
                <w:szCs w:val="18"/>
              </w:rPr>
              <w:t>ctDNA</w:t>
            </w:r>
            <w:proofErr w:type="spellEnd"/>
            <w:r w:rsidRPr="00D54BDA">
              <w:rPr>
                <w:rFonts w:asciiTheme="minorHAnsi" w:eastAsiaTheme="minorHAnsi" w:hAnsiTheme="minorHAnsi" w:cstheme="minorBidi"/>
                <w:sz w:val="18"/>
                <w:szCs w:val="18"/>
              </w:rPr>
              <w:t xml:space="preserve"> testing, which could pick up germline mutations but requires germline testing to confirm. It is to be noted that somatic tumor/</w:t>
            </w:r>
            <w:proofErr w:type="spellStart"/>
            <w:r w:rsidRPr="00D54BDA">
              <w:rPr>
                <w:rFonts w:asciiTheme="minorHAnsi" w:eastAsiaTheme="minorHAnsi" w:hAnsiTheme="minorHAnsi" w:cstheme="minorBidi"/>
                <w:sz w:val="18"/>
                <w:szCs w:val="18"/>
              </w:rPr>
              <w:t>ctDNA</w:t>
            </w:r>
            <w:proofErr w:type="spellEnd"/>
            <w:r w:rsidRPr="00D54BDA">
              <w:rPr>
                <w:rFonts w:asciiTheme="minorHAnsi" w:eastAsiaTheme="minorHAnsi" w:hAnsiTheme="minorHAnsi" w:cstheme="minorBidi"/>
                <w:sz w:val="18"/>
                <w:szCs w:val="18"/>
              </w:rPr>
              <w:t xml:space="preserve"> testing can also miss germline mutations so are not a good way to screen for germline mutations.</w:t>
            </w:r>
            <w:r w:rsidRPr="00D54BDA">
              <w:rPr>
                <w:rFonts w:asciiTheme="minorHAnsi" w:eastAsiaTheme="minorHAnsi" w:hAnsiTheme="minorHAnsi" w:cstheme="minorBidi"/>
                <w:sz w:val="18"/>
                <w:szCs w:val="18"/>
                <w:vertAlign w:val="superscript"/>
              </w:rPr>
              <w:t>27</w:t>
            </w:r>
          </w:p>
          <w:p w14:paraId="2406534C" w14:textId="3ACC20FB" w:rsidR="00F127F2" w:rsidRPr="00D54BDA" w:rsidRDefault="00F127F2" w:rsidP="00F127F2">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 xml:space="preserve">As stated earlier, for early-stage disease, the oncology community is doing okay in terms of genetic testing for patients with triple negative breast cancer. However, in hormone receptor-positive disease, eligible patients might be missed if they're older and don't have family history of breast cancer or don’t have a record of family history. </w:t>
            </w:r>
          </w:p>
          <w:p w14:paraId="791A9EF2" w14:textId="441A0557" w:rsidR="00F127F2" w:rsidRPr="00D54BDA" w:rsidRDefault="00F127F2" w:rsidP="00F127F2">
            <w:pPr>
              <w:pStyle w:val="TableParagraph"/>
              <w:spacing w:before="48"/>
              <w:ind w:left="60"/>
              <w:rPr>
                <w:rFonts w:asciiTheme="minorHAnsi" w:eastAsiaTheme="minorHAnsi" w:hAnsiTheme="minorHAnsi" w:cstheme="minorBidi"/>
                <w:sz w:val="18"/>
                <w:szCs w:val="18"/>
              </w:rPr>
            </w:pPr>
            <w:r w:rsidRPr="00D54BDA">
              <w:rPr>
                <w:rFonts w:asciiTheme="minorHAnsi" w:eastAsiaTheme="minorHAnsi" w:hAnsiTheme="minorHAnsi" w:cstheme="minorBidi"/>
                <w:sz w:val="18"/>
                <w:szCs w:val="18"/>
              </w:rPr>
              <w:t>The literature suggests that a quarter or more eligible patients are still not getting germline tested, and it varies based on type of practice and the healthcare setting. For example, in marginalized communities, access to resources is more challenging. Due to these disparities in healthcare access, minorities, individuals living in rural communities, and those from lower socioeconomic demographics are getting tested less. Through improved infrastructure and access to resources, oncologists and support teams could be better empowered to discuss genetic testing. Note that oncology providers are ordering somatic testing on a routine basis to aid in treatment decision making.</w:t>
            </w:r>
            <w:r w:rsidRPr="00D54BDA">
              <w:rPr>
                <w:rFonts w:asciiTheme="minorHAnsi" w:eastAsiaTheme="minorHAnsi" w:hAnsiTheme="minorHAnsi" w:cstheme="minorBidi"/>
                <w:sz w:val="18"/>
                <w:szCs w:val="18"/>
                <w:vertAlign w:val="superscript"/>
              </w:rPr>
              <w:t>28,29</w:t>
            </w:r>
          </w:p>
          <w:p w14:paraId="4ABAC723" w14:textId="44D7E762" w:rsidR="00F127F2" w:rsidRPr="00DE7538" w:rsidRDefault="00F127F2" w:rsidP="00F127F2">
            <w:pPr>
              <w:pStyle w:val="TableParagraph"/>
              <w:spacing w:before="48"/>
              <w:ind w:left="60"/>
              <w:rPr>
                <w:sz w:val="20"/>
                <w:szCs w:val="20"/>
              </w:rPr>
            </w:pPr>
            <w:r w:rsidRPr="00D54BDA">
              <w:rPr>
                <w:rFonts w:asciiTheme="minorHAnsi" w:eastAsiaTheme="minorHAnsi" w:hAnsiTheme="minorHAnsi" w:cstheme="minorBidi"/>
                <w:sz w:val="18"/>
                <w:szCs w:val="18"/>
              </w:rPr>
              <w:t>While LYNPARZA may already be helping many patients with certain breast cancers, improving genetic testing rates in breast cancer patients will help to identify more patients who are eligible for targeted therapy with LYNPARZA.</w:t>
            </w:r>
            <w:r w:rsidRPr="00D54BDA">
              <w:rPr>
                <w:color w:val="C00000"/>
                <w:sz w:val="16"/>
                <w:szCs w:val="16"/>
              </w:rPr>
              <w:t xml:space="preserve"> </w:t>
            </w:r>
          </w:p>
        </w:tc>
      </w:tr>
    </w:tbl>
    <w:p w14:paraId="0A720815" w14:textId="77777777" w:rsidR="00722D66" w:rsidRPr="00DE7538" w:rsidRDefault="00722D66">
      <w:r w:rsidRPr="00DE7538">
        <w:br w:type="page"/>
      </w:r>
    </w:p>
    <w:tbl>
      <w:tblPr>
        <w:tblW w:w="1341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410"/>
      </w:tblGrid>
      <w:tr w:rsidR="00D54BDA" w:rsidRPr="00DE7538" w14:paraId="31042405" w14:textId="77777777" w:rsidTr="00D54BDA">
        <w:trPr>
          <w:cantSplit/>
          <w:trHeight w:val="317"/>
        </w:trPr>
        <w:tc>
          <w:tcPr>
            <w:tcW w:w="13410" w:type="dxa"/>
            <w:shd w:val="clear" w:color="auto" w:fill="829BAD" w:themeFill="background2"/>
          </w:tcPr>
          <w:p w14:paraId="3BB95DCA" w14:textId="24AA70FB" w:rsidR="00D54BDA" w:rsidRPr="00DE7538" w:rsidRDefault="00D54BDA" w:rsidP="00302BE0">
            <w:pPr>
              <w:pStyle w:val="BasicParagraph"/>
              <w:suppressAutoHyphens/>
              <w:spacing w:line="240" w:lineRule="auto"/>
              <w:ind w:left="90" w:right="181"/>
              <w:rPr>
                <w:rFonts w:ascii="Karla" w:hAnsi="Karla" w:cs="Karla"/>
                <w:b/>
                <w:bCs/>
                <w:color w:val="FFFFFF" w:themeColor="accent6"/>
                <w:sz w:val="20"/>
                <w:szCs w:val="20"/>
              </w:rPr>
            </w:pPr>
            <w:r w:rsidRPr="00DE7538">
              <w:rPr>
                <w:rFonts w:asciiTheme="majorHAnsi" w:hAnsiTheme="majorHAnsi"/>
                <w:b/>
                <w:color w:val="FFFFFF" w:themeColor="accent6"/>
                <w:sz w:val="20"/>
              </w:rPr>
              <w:lastRenderedPageBreak/>
              <w:t>Screen 1</w:t>
            </w:r>
            <w:r>
              <w:rPr>
                <w:rFonts w:asciiTheme="majorHAnsi" w:hAnsiTheme="majorHAnsi"/>
                <w:b/>
                <w:color w:val="FFFFFF" w:themeColor="accent6"/>
                <w:sz w:val="20"/>
              </w:rPr>
              <w:t>4</w:t>
            </w:r>
          </w:p>
        </w:tc>
      </w:tr>
      <w:tr w:rsidR="00D54BDA" w:rsidRPr="00DE7538" w14:paraId="0FB2F71A" w14:textId="77777777" w:rsidTr="00D54BDA">
        <w:trPr>
          <w:cantSplit/>
          <w:trHeight w:val="317"/>
        </w:trPr>
        <w:tc>
          <w:tcPr>
            <w:tcW w:w="13410" w:type="dxa"/>
            <w:shd w:val="clear" w:color="auto" w:fill="auto"/>
          </w:tcPr>
          <w:p w14:paraId="179331E1" w14:textId="163ACBDC" w:rsidR="00D54BDA" w:rsidRPr="00D54BDA" w:rsidRDefault="00D54BDA" w:rsidP="00302BE0">
            <w:pPr>
              <w:spacing w:line="240" w:lineRule="auto"/>
              <w:ind w:left="86"/>
              <w:rPr>
                <w:sz w:val="18"/>
                <w:szCs w:val="18"/>
              </w:rPr>
            </w:pPr>
            <w:r w:rsidRPr="00D54BDA">
              <w:rPr>
                <w:sz w:val="18"/>
                <w:szCs w:val="18"/>
              </w:rPr>
              <w:t xml:space="preserve">In the context of current approval, genetic </w:t>
            </w:r>
            <w:r w:rsidRPr="00D54BDA">
              <w:rPr>
                <w:i/>
                <w:iCs/>
                <w:sz w:val="18"/>
                <w:szCs w:val="18"/>
              </w:rPr>
              <w:t xml:space="preserve">BRCA1/2 </w:t>
            </w:r>
            <w:r w:rsidRPr="00D54BDA">
              <w:rPr>
                <w:sz w:val="18"/>
                <w:szCs w:val="18"/>
              </w:rPr>
              <w:t>testing is recommended for all patients with metastatic breast cancer, among patients with early stage disease for all patients with TNBC regardless of age of diagnosis of cancer or family history, for patients with HER2 negative breast cancer who may be eligible of adjuvant LYNPARZA again regardless of family history, and for others who might meet criterion based on age of diagnosis or family history.</w:t>
            </w:r>
            <w:r w:rsidRPr="00D54BDA">
              <w:rPr>
                <w:sz w:val="18"/>
                <w:szCs w:val="18"/>
                <w:vertAlign w:val="superscript"/>
              </w:rPr>
              <w:t>22</w:t>
            </w:r>
          </w:p>
          <w:p w14:paraId="5F27BFFA" w14:textId="59B44C07" w:rsidR="00D54BDA" w:rsidRPr="00D54BDA" w:rsidRDefault="00D54BDA" w:rsidP="00302BE0">
            <w:pPr>
              <w:spacing w:line="240" w:lineRule="auto"/>
              <w:ind w:left="86"/>
              <w:rPr>
                <w:sz w:val="18"/>
                <w:szCs w:val="18"/>
              </w:rPr>
            </w:pPr>
            <w:r w:rsidRPr="00D54BDA">
              <w:rPr>
                <w:sz w:val="18"/>
                <w:szCs w:val="18"/>
              </w:rPr>
              <w:t>In terms of where we should be headed outside of current approval, I think there's a lot of scientific questions that would fall under research.</w:t>
            </w:r>
          </w:p>
          <w:p w14:paraId="066FF7C5" w14:textId="4E7D6F33" w:rsidR="00D54BDA" w:rsidRPr="00DE7538" w:rsidRDefault="00D54BDA" w:rsidP="00302BE0">
            <w:pPr>
              <w:spacing w:line="240" w:lineRule="auto"/>
              <w:ind w:left="86"/>
              <w:rPr>
                <w:sz w:val="20"/>
                <w:szCs w:val="20"/>
              </w:rPr>
            </w:pPr>
            <w:r w:rsidRPr="00D54BDA">
              <w:rPr>
                <w:sz w:val="18"/>
                <w:szCs w:val="18"/>
              </w:rPr>
              <w:t xml:space="preserve">I look forward to seeing how LYNPARZA can continue to expand across different treatment settings and across different tumor types. </w:t>
            </w:r>
          </w:p>
        </w:tc>
      </w:tr>
      <w:tr w:rsidR="00D54BDA" w:rsidRPr="00DE7538" w14:paraId="2655B66B" w14:textId="77777777" w:rsidTr="00D54BDA">
        <w:trPr>
          <w:cantSplit/>
          <w:trHeight w:val="317"/>
        </w:trPr>
        <w:tc>
          <w:tcPr>
            <w:tcW w:w="13410" w:type="dxa"/>
            <w:shd w:val="clear" w:color="auto" w:fill="auto"/>
          </w:tcPr>
          <w:p w14:paraId="11F3E3B3" w14:textId="77777777" w:rsidR="00D54BDA" w:rsidRDefault="00D54BDA" w:rsidP="00D54BDA">
            <w:pPr>
              <w:spacing w:after="0" w:line="240" w:lineRule="auto"/>
              <w:rPr>
                <w:rFonts w:ascii="Arial" w:hAnsi="Arial" w:cs="Arial"/>
                <w:b/>
                <w:bCs/>
                <w:sz w:val="20"/>
                <w:szCs w:val="20"/>
              </w:rPr>
            </w:pPr>
            <w:r w:rsidRPr="00CE1524">
              <w:rPr>
                <w:rFonts w:ascii="Arial" w:hAnsi="Arial" w:cs="Arial"/>
                <w:b/>
                <w:bCs/>
                <w:sz w:val="20"/>
                <w:szCs w:val="20"/>
              </w:rPr>
              <w:lastRenderedPageBreak/>
              <w:t>Important Safety Information</w:t>
            </w:r>
          </w:p>
          <w:p w14:paraId="3E22AF8D" w14:textId="77777777" w:rsidR="00D54BDA" w:rsidRDefault="00D54BDA" w:rsidP="00D54BDA">
            <w:pPr>
              <w:spacing w:after="0" w:line="240" w:lineRule="auto"/>
              <w:rPr>
                <w:rFonts w:ascii="Arial" w:hAnsi="Arial" w:cs="Arial"/>
                <w:b/>
                <w:bCs/>
                <w:sz w:val="18"/>
                <w:szCs w:val="18"/>
              </w:rPr>
            </w:pPr>
          </w:p>
          <w:p w14:paraId="5B295ACE" w14:textId="6E794A42" w:rsidR="00D54BDA" w:rsidRPr="00D54BDA" w:rsidRDefault="00D54BDA" w:rsidP="00D54BDA">
            <w:pPr>
              <w:spacing w:after="0" w:line="240" w:lineRule="auto"/>
              <w:rPr>
                <w:rFonts w:ascii="Arial" w:hAnsi="Arial" w:cs="Arial"/>
                <w:b/>
                <w:bCs/>
                <w:sz w:val="18"/>
                <w:szCs w:val="18"/>
              </w:rPr>
            </w:pPr>
            <w:r w:rsidRPr="00D54BDA">
              <w:rPr>
                <w:rFonts w:ascii="Arial" w:hAnsi="Arial" w:cs="Arial"/>
                <w:b/>
                <w:bCs/>
                <w:sz w:val="18"/>
                <w:szCs w:val="18"/>
              </w:rPr>
              <w:t>CONTRAINDICATIONS</w:t>
            </w:r>
          </w:p>
          <w:p w14:paraId="5C8D7251"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There are no contraindications for LYNPARZA.</w:t>
            </w:r>
          </w:p>
          <w:p w14:paraId="39677354" w14:textId="77777777" w:rsidR="00D54BDA" w:rsidRPr="00D54BDA" w:rsidRDefault="00D54BDA" w:rsidP="00D54BDA">
            <w:pPr>
              <w:spacing w:after="0" w:line="240" w:lineRule="auto"/>
              <w:rPr>
                <w:rFonts w:ascii="Arial" w:hAnsi="Arial" w:cs="Arial"/>
                <w:sz w:val="18"/>
                <w:szCs w:val="18"/>
              </w:rPr>
            </w:pPr>
          </w:p>
          <w:p w14:paraId="50C0388E" w14:textId="77777777" w:rsidR="00D54BDA" w:rsidRPr="00D54BDA" w:rsidRDefault="00D54BDA" w:rsidP="00D54BDA">
            <w:pPr>
              <w:spacing w:after="0" w:line="240" w:lineRule="auto"/>
              <w:rPr>
                <w:rFonts w:ascii="Arial" w:hAnsi="Arial" w:cs="Arial"/>
                <w:b/>
                <w:bCs/>
                <w:sz w:val="18"/>
                <w:szCs w:val="18"/>
              </w:rPr>
            </w:pPr>
            <w:r w:rsidRPr="00D54BDA">
              <w:rPr>
                <w:rFonts w:ascii="Arial" w:hAnsi="Arial" w:cs="Arial"/>
                <w:b/>
                <w:bCs/>
                <w:sz w:val="18"/>
                <w:szCs w:val="18"/>
              </w:rPr>
              <w:t>WARNINGS AND PRECAUTIONS </w:t>
            </w:r>
          </w:p>
          <w:p w14:paraId="79466DA8"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Myelodysplastic Syndrome/Acute Myeloid Leukemia (MDS/AML):</w:t>
            </w:r>
            <w:r w:rsidRPr="00D54BDA">
              <w:rPr>
                <w:rFonts w:ascii="Arial" w:hAnsi="Arial" w:cs="Arial"/>
                <w:sz w:val="18"/>
                <w:szCs w:val="18"/>
              </w:rPr>
              <w:t xml:space="preserve"> Occurred in approximately 1.2% of patients with various </w:t>
            </w:r>
            <w:proofErr w:type="spellStart"/>
            <w:r w:rsidRPr="00D54BDA">
              <w:rPr>
                <w:rFonts w:ascii="Arial" w:hAnsi="Arial" w:cs="Arial"/>
                <w:i/>
                <w:iCs/>
                <w:sz w:val="18"/>
                <w:szCs w:val="18"/>
              </w:rPr>
              <w:t>BRCA</w:t>
            </w:r>
            <w:r w:rsidRPr="00D54BDA">
              <w:rPr>
                <w:rFonts w:ascii="Arial" w:hAnsi="Arial" w:cs="Arial"/>
                <w:sz w:val="18"/>
                <w:szCs w:val="18"/>
              </w:rPr>
              <w:t>m</w:t>
            </w:r>
            <w:proofErr w:type="spellEnd"/>
            <w:r w:rsidRPr="00D54BDA">
              <w:rPr>
                <w:rFonts w:ascii="Arial" w:hAnsi="Arial" w:cs="Arial"/>
                <w:sz w:val="18"/>
                <w:szCs w:val="18"/>
              </w:rPr>
              <w:t xml:space="preserve">, </w:t>
            </w:r>
            <w:proofErr w:type="spellStart"/>
            <w:r w:rsidRPr="00D54BDA">
              <w:rPr>
                <w:rFonts w:ascii="Arial" w:hAnsi="Arial" w:cs="Arial"/>
                <w:sz w:val="18"/>
                <w:szCs w:val="18"/>
              </w:rPr>
              <w:t>g</w:t>
            </w:r>
            <w:r w:rsidRPr="00D54BDA">
              <w:rPr>
                <w:rFonts w:ascii="Arial" w:hAnsi="Arial" w:cs="Arial"/>
                <w:i/>
                <w:iCs/>
                <w:sz w:val="18"/>
                <w:szCs w:val="18"/>
              </w:rPr>
              <w:t>BRCA</w:t>
            </w:r>
            <w:r w:rsidRPr="00D54BDA">
              <w:rPr>
                <w:rFonts w:ascii="Arial" w:hAnsi="Arial" w:cs="Arial"/>
                <w:sz w:val="18"/>
                <w:szCs w:val="18"/>
              </w:rPr>
              <w:t>m</w:t>
            </w:r>
            <w:proofErr w:type="spellEnd"/>
            <w:r w:rsidRPr="00D54BDA">
              <w:rPr>
                <w:rFonts w:ascii="Arial" w:hAnsi="Arial" w:cs="Arial"/>
                <w:sz w:val="18"/>
                <w:szCs w:val="18"/>
              </w:rPr>
              <w:t xml:space="preserve">, HRR gene-mutated or HRD-positive cancers who received LYNPARZA as a single agent or as part of a combination regimen, consistent with the approved indications, and </w:t>
            </w:r>
            <w:proofErr w:type="gramStart"/>
            <w:r w:rsidRPr="00D54BDA">
              <w:rPr>
                <w:rFonts w:ascii="Arial" w:hAnsi="Arial" w:cs="Arial"/>
                <w:sz w:val="18"/>
                <w:szCs w:val="18"/>
              </w:rPr>
              <w:t>the majority of</w:t>
            </w:r>
            <w:proofErr w:type="gramEnd"/>
            <w:r w:rsidRPr="00D54BDA">
              <w:rPr>
                <w:rFonts w:ascii="Arial" w:hAnsi="Arial" w:cs="Arial"/>
                <w:sz w:val="18"/>
                <w:szCs w:val="18"/>
              </w:rPr>
              <w:t xml:space="preserve"> events had a fatal outcome. The median duration of therapy in patients who developed MDS/AML was approximately 2 years (range: &lt;6 months to &gt;4 years). </w:t>
            </w:r>
            <w:proofErr w:type="gramStart"/>
            <w:r w:rsidRPr="00D54BDA">
              <w:rPr>
                <w:rFonts w:ascii="Arial" w:hAnsi="Arial" w:cs="Arial"/>
                <w:sz w:val="18"/>
                <w:szCs w:val="18"/>
              </w:rPr>
              <w:t>All of</w:t>
            </w:r>
            <w:proofErr w:type="gramEnd"/>
            <w:r w:rsidRPr="00D54BDA">
              <w:rPr>
                <w:rFonts w:ascii="Arial" w:hAnsi="Arial" w:cs="Arial"/>
                <w:sz w:val="18"/>
                <w:szCs w:val="18"/>
              </w:rPr>
              <w:t xml:space="preserve"> these patients had previous chemotherapy with platinum agents and/or other DNA-damaging agents, including radiotherapy.</w:t>
            </w:r>
          </w:p>
          <w:p w14:paraId="1DE9D093" w14:textId="77777777" w:rsidR="00D54BDA" w:rsidRPr="00D54BDA" w:rsidRDefault="00D54BDA" w:rsidP="00D54BDA">
            <w:pPr>
              <w:spacing w:after="0" w:line="240" w:lineRule="auto"/>
              <w:rPr>
                <w:rFonts w:ascii="Arial" w:hAnsi="Arial" w:cs="Arial"/>
                <w:sz w:val="18"/>
                <w:szCs w:val="18"/>
              </w:rPr>
            </w:pPr>
          </w:p>
          <w:p w14:paraId="2DF36BB3"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 xml:space="preserve">In SOLO-1, patients with newly diagnosed advanced </w:t>
            </w:r>
            <w:proofErr w:type="spellStart"/>
            <w:r w:rsidRPr="00D54BDA">
              <w:rPr>
                <w:rFonts w:ascii="Arial" w:hAnsi="Arial" w:cs="Arial"/>
                <w:i/>
                <w:iCs/>
                <w:sz w:val="18"/>
                <w:szCs w:val="18"/>
              </w:rPr>
              <w:t>BRCA</w:t>
            </w:r>
            <w:r w:rsidRPr="00D54BDA">
              <w:rPr>
                <w:rFonts w:ascii="Arial" w:hAnsi="Arial" w:cs="Arial"/>
                <w:sz w:val="18"/>
                <w:szCs w:val="18"/>
              </w:rPr>
              <w:t>m</w:t>
            </w:r>
            <w:proofErr w:type="spellEnd"/>
            <w:r w:rsidRPr="00D54BDA">
              <w:rPr>
                <w:rFonts w:ascii="Arial" w:hAnsi="Arial" w:cs="Arial"/>
                <w:sz w:val="18"/>
                <w:szCs w:val="18"/>
              </w:rPr>
              <w:t xml:space="preserve"> ovarian cancer, the incidence of MDS/AML was 1.9% (5/260) in patients who received LYNPARZA and 0.8% (1/130) in patients who received placebo based on an updated analysis. In PAOLA-1, in patients with newly diagnosed advanced ovarian cancer with HRD-positive status, the incidence of MDS/AML was 1.6% (4/255) in patients who received LYNPARZA and 2.3% (3/131) in the control arm.</w:t>
            </w:r>
          </w:p>
          <w:p w14:paraId="6E7772C3" w14:textId="77777777" w:rsidR="00D54BDA" w:rsidRPr="00D54BDA" w:rsidRDefault="00D54BDA" w:rsidP="00D54BDA">
            <w:pPr>
              <w:spacing w:after="0" w:line="240" w:lineRule="auto"/>
              <w:rPr>
                <w:rFonts w:ascii="Arial" w:hAnsi="Arial" w:cs="Arial"/>
                <w:sz w:val="18"/>
                <w:szCs w:val="18"/>
              </w:rPr>
            </w:pPr>
          </w:p>
          <w:p w14:paraId="777AA0A4"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 xml:space="preserve">In SOLO-2, patients with </w:t>
            </w:r>
            <w:proofErr w:type="spellStart"/>
            <w:r w:rsidRPr="00D54BDA">
              <w:rPr>
                <w:rFonts w:ascii="Arial" w:hAnsi="Arial" w:cs="Arial"/>
                <w:i/>
                <w:iCs/>
                <w:sz w:val="18"/>
                <w:szCs w:val="18"/>
              </w:rPr>
              <w:t>BRCA</w:t>
            </w:r>
            <w:r w:rsidRPr="00D54BDA">
              <w:rPr>
                <w:rFonts w:ascii="Arial" w:hAnsi="Arial" w:cs="Arial"/>
                <w:sz w:val="18"/>
                <w:szCs w:val="18"/>
              </w:rPr>
              <w:t>m</w:t>
            </w:r>
            <w:proofErr w:type="spellEnd"/>
            <w:r w:rsidRPr="00D54BDA">
              <w:rPr>
                <w:rFonts w:ascii="Arial" w:hAnsi="Arial" w:cs="Arial"/>
                <w:sz w:val="18"/>
                <w:szCs w:val="18"/>
              </w:rPr>
              <w:t xml:space="preserve"> platinum-sensitive relapsed ovarian cancer, the incidence of MDS/AML was 8% (15/195) in patients who received LYNPARZA and 4% (4/99) in patients who received placebo. The duration of LYNPARZA treatment prior to the diagnosis of MDS/AML ranged from 0.6 years to 4.5 years. </w:t>
            </w:r>
          </w:p>
          <w:p w14:paraId="3671B2E2" w14:textId="77777777" w:rsidR="00D54BDA" w:rsidRPr="00D54BDA" w:rsidRDefault="00D54BDA" w:rsidP="00D54BDA">
            <w:pPr>
              <w:spacing w:after="0" w:line="240" w:lineRule="auto"/>
              <w:rPr>
                <w:rFonts w:ascii="Arial" w:hAnsi="Arial" w:cs="Arial"/>
                <w:sz w:val="18"/>
                <w:szCs w:val="18"/>
              </w:rPr>
            </w:pPr>
          </w:p>
          <w:p w14:paraId="42E852F4"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Do not start LYNPARZA until patients have recovered from hematological toxicity caused by previous chemotherapy (≤Grade 1). Monitor complete blood count for cytopenia at baseline and monthly thereafter for clinically significant changes during treatment. For prolonged hematological toxicities, interrupt LYNPARZA and monitor blood count weekly until recovery.</w:t>
            </w:r>
          </w:p>
          <w:p w14:paraId="65C34616" w14:textId="77777777" w:rsidR="00D54BDA" w:rsidRPr="00D54BDA" w:rsidRDefault="00D54BDA" w:rsidP="00D54BDA">
            <w:pPr>
              <w:spacing w:after="0" w:line="240" w:lineRule="auto"/>
              <w:rPr>
                <w:rFonts w:ascii="Arial" w:hAnsi="Arial" w:cs="Arial"/>
                <w:sz w:val="18"/>
                <w:szCs w:val="18"/>
              </w:rPr>
            </w:pPr>
          </w:p>
          <w:p w14:paraId="0F64A5F8"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If the levels have not recovered to Grade 1 or less after 4 weeks, refer the patient to a hematologist for further investigations, including bone marrow analysis and blood sample for cytogenetics. Discontinue LYNPARZA if MDS/AML is confirmed.</w:t>
            </w:r>
          </w:p>
          <w:p w14:paraId="233FC4C2" w14:textId="77777777" w:rsidR="00D54BDA" w:rsidRPr="00D54BDA" w:rsidRDefault="00D54BDA" w:rsidP="00D54BDA">
            <w:pPr>
              <w:spacing w:after="0" w:line="240" w:lineRule="auto"/>
              <w:rPr>
                <w:rFonts w:ascii="Arial" w:hAnsi="Arial" w:cs="Arial"/>
                <w:sz w:val="18"/>
                <w:szCs w:val="18"/>
              </w:rPr>
            </w:pPr>
          </w:p>
          <w:p w14:paraId="606BF9A7"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Pneumonitis:</w:t>
            </w:r>
            <w:r w:rsidRPr="00D54BDA">
              <w:rPr>
                <w:rFonts w:ascii="Arial" w:hAnsi="Arial" w:cs="Arial"/>
                <w:sz w:val="18"/>
                <w:szCs w:val="18"/>
              </w:rPr>
              <w:t xml:space="preserve"> Occurred in 0.8% of patients exposed to LYNPARZA monotherapy, and some cases were fatal. If patients present with new or worsening respiratory symptoms such as dyspnea, cough, and fever, or a radiological abnormality occurs, interrupt LYNPARZA treatment and initiate prompt investigation. Discontinue LYNPARZA if pneumonitis is confirmed and treat patient appropriately.</w:t>
            </w:r>
          </w:p>
          <w:p w14:paraId="295557D5" w14:textId="77777777" w:rsidR="00D54BDA" w:rsidRPr="00D54BDA" w:rsidRDefault="00D54BDA" w:rsidP="00D54BDA">
            <w:pPr>
              <w:spacing w:after="0" w:line="240" w:lineRule="auto"/>
              <w:rPr>
                <w:rFonts w:ascii="Arial" w:hAnsi="Arial" w:cs="Arial"/>
                <w:sz w:val="18"/>
                <w:szCs w:val="18"/>
              </w:rPr>
            </w:pPr>
          </w:p>
          <w:p w14:paraId="4A1749E4"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 xml:space="preserve">Venous Thromboembolism (VTE): </w:t>
            </w:r>
            <w:r w:rsidRPr="00D54BDA">
              <w:rPr>
                <w:rFonts w:ascii="Arial" w:hAnsi="Arial" w:cs="Arial"/>
                <w:sz w:val="18"/>
                <w:szCs w:val="18"/>
              </w:rPr>
              <w:t>Including severe or fatal pulmonary embolism (PE) occurred in patients treated with LYNPARZA. In the combined data of two randomized, placebo-controlled clinical studies (</w:t>
            </w:r>
            <w:proofErr w:type="spellStart"/>
            <w:r w:rsidRPr="00D54BDA">
              <w:rPr>
                <w:rFonts w:ascii="Arial" w:hAnsi="Arial" w:cs="Arial"/>
                <w:sz w:val="18"/>
                <w:szCs w:val="18"/>
              </w:rPr>
              <w:t>PROfound</w:t>
            </w:r>
            <w:proofErr w:type="spellEnd"/>
            <w:r w:rsidRPr="00D54BDA">
              <w:rPr>
                <w:rFonts w:ascii="Arial" w:hAnsi="Arial" w:cs="Arial"/>
                <w:sz w:val="18"/>
                <w:szCs w:val="18"/>
              </w:rPr>
              <w:t xml:space="preserve"> and </w:t>
            </w:r>
            <w:proofErr w:type="spellStart"/>
            <w:r w:rsidRPr="00D54BDA">
              <w:rPr>
                <w:rFonts w:ascii="Arial" w:hAnsi="Arial" w:cs="Arial"/>
                <w:sz w:val="18"/>
                <w:szCs w:val="18"/>
              </w:rPr>
              <w:t>PROpel</w:t>
            </w:r>
            <w:proofErr w:type="spellEnd"/>
            <w:r w:rsidRPr="00D54BDA">
              <w:rPr>
                <w:rFonts w:ascii="Arial" w:hAnsi="Arial" w:cs="Arial"/>
                <w:sz w:val="18"/>
                <w:szCs w:val="18"/>
              </w:rPr>
              <w:t>) in patients with metastatic castration-resistant prostate cancer (N=1180), VTE occurred in 8% of patients who received LYNPARZA, including pulmonary embolism in 6%. In the control arms, VTE occurred in 2.5%, including pulmonary embolism in 1.5%.  Monitor patients for signs and symptoms of venous thrombosis and pulmonary embolism, and treat as medically appropriate, which may include long-term anticoagulation as clinically indicated.</w:t>
            </w:r>
          </w:p>
          <w:p w14:paraId="7A7A7C8D" w14:textId="77777777" w:rsidR="00D54BDA" w:rsidRPr="00D54BDA" w:rsidRDefault="00D54BDA" w:rsidP="00D54BDA">
            <w:pPr>
              <w:spacing w:after="0" w:line="240" w:lineRule="auto"/>
              <w:rPr>
                <w:rFonts w:ascii="Arial" w:hAnsi="Arial" w:cs="Arial"/>
                <w:sz w:val="18"/>
                <w:szCs w:val="18"/>
              </w:rPr>
            </w:pPr>
          </w:p>
          <w:p w14:paraId="48092D6D"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 xml:space="preserve">Embryo-Fetal Toxicity: </w:t>
            </w:r>
            <w:r w:rsidRPr="00D54BDA">
              <w:rPr>
                <w:rFonts w:ascii="Arial" w:hAnsi="Arial" w:cs="Arial"/>
                <w:sz w:val="18"/>
                <w:szCs w:val="18"/>
              </w:rPr>
              <w:t xml:space="preserve">Based on its mechanism of action and findings in animals, LYNPARZA can cause fetal harm. Verify pregnancy status in females of reproductive potential prior to initiating treatment. </w:t>
            </w:r>
          </w:p>
          <w:p w14:paraId="23208059" w14:textId="77777777" w:rsidR="00D54BDA" w:rsidRPr="00D54BDA" w:rsidRDefault="00D54BDA" w:rsidP="00D54BDA">
            <w:pPr>
              <w:spacing w:after="0" w:line="240" w:lineRule="auto"/>
              <w:rPr>
                <w:rFonts w:ascii="Arial" w:hAnsi="Arial" w:cs="Arial"/>
                <w:sz w:val="18"/>
                <w:szCs w:val="18"/>
              </w:rPr>
            </w:pPr>
          </w:p>
          <w:p w14:paraId="30E89054"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i/>
                <w:iCs/>
                <w:sz w:val="18"/>
                <w:szCs w:val="18"/>
              </w:rPr>
              <w:t>Females</w:t>
            </w:r>
            <w:r w:rsidRPr="00D54BDA">
              <w:rPr>
                <w:rFonts w:ascii="Arial" w:hAnsi="Arial" w:cs="Arial"/>
                <w:sz w:val="18"/>
                <w:szCs w:val="18"/>
              </w:rPr>
              <w:br/>
              <w:t>Advise females of reproductive potential of the potential risk to a fetus and to use effective contraception during treatment and for 6 months following the last dose.</w:t>
            </w:r>
          </w:p>
          <w:p w14:paraId="64F5B09E" w14:textId="77777777" w:rsidR="00D54BDA" w:rsidRPr="00D54BDA" w:rsidRDefault="00D54BDA" w:rsidP="00D54BDA">
            <w:pPr>
              <w:spacing w:after="0" w:line="240" w:lineRule="auto"/>
              <w:rPr>
                <w:rFonts w:ascii="Arial" w:hAnsi="Arial" w:cs="Arial"/>
                <w:b/>
                <w:bCs/>
                <w:sz w:val="18"/>
                <w:szCs w:val="18"/>
              </w:rPr>
            </w:pPr>
          </w:p>
          <w:p w14:paraId="40858FE4"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i/>
                <w:iCs/>
                <w:color w:val="000000"/>
                <w:sz w:val="18"/>
                <w:szCs w:val="18"/>
              </w:rPr>
              <w:t>Males</w:t>
            </w:r>
            <w:r w:rsidRPr="00D54BDA">
              <w:rPr>
                <w:rFonts w:ascii="Arial" w:hAnsi="Arial" w:cs="Arial"/>
                <w:color w:val="000000"/>
                <w:sz w:val="18"/>
                <w:szCs w:val="18"/>
              </w:rPr>
              <w:t> </w:t>
            </w:r>
            <w:r w:rsidRPr="00D54BDA">
              <w:rPr>
                <w:rFonts w:ascii="Arial" w:hAnsi="Arial" w:cs="Arial"/>
                <w:color w:val="000000"/>
                <w:sz w:val="18"/>
                <w:szCs w:val="18"/>
              </w:rPr>
              <w:br/>
              <w:t>Advise male patients with female partners of reproductive potential or who are pregnant to use effective contraception during treatment and for 3 months following the last dose of LYNPARZA and to not donate sperm during this time.</w:t>
            </w:r>
          </w:p>
          <w:p w14:paraId="5EEDE648" w14:textId="77777777" w:rsidR="00D54BDA" w:rsidRPr="00D54BDA" w:rsidRDefault="00D54BDA" w:rsidP="00D54BDA">
            <w:pPr>
              <w:spacing w:after="0" w:line="240" w:lineRule="auto"/>
              <w:rPr>
                <w:rFonts w:ascii="Arial" w:hAnsi="Arial" w:cs="Arial"/>
                <w:b/>
                <w:bCs/>
                <w:color w:val="000000"/>
                <w:sz w:val="18"/>
                <w:szCs w:val="18"/>
              </w:rPr>
            </w:pPr>
          </w:p>
          <w:p w14:paraId="67A84ACB"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b/>
                <w:bCs/>
                <w:color w:val="000000"/>
                <w:sz w:val="18"/>
                <w:szCs w:val="18"/>
              </w:rPr>
              <w:t>ADVERSE REACTIONS</w:t>
            </w:r>
            <w:r w:rsidRPr="00D54BDA">
              <w:rPr>
                <w:rFonts w:ascii="Arial" w:hAnsi="Arial" w:cs="Arial"/>
                <w:color w:val="000000"/>
                <w:sz w:val="18"/>
                <w:szCs w:val="18"/>
              </w:rPr>
              <w:t> </w:t>
            </w:r>
            <w:r w:rsidRPr="00D54BDA">
              <w:rPr>
                <w:rFonts w:ascii="Arial" w:hAnsi="Arial" w:cs="Arial"/>
                <w:b/>
                <w:bCs/>
                <w:color w:val="000000"/>
                <w:sz w:val="18"/>
                <w:szCs w:val="18"/>
              </w:rPr>
              <w:t xml:space="preserve">—First-Line Maintenance </w:t>
            </w:r>
            <w:proofErr w:type="spellStart"/>
            <w:r w:rsidRPr="00D54BDA">
              <w:rPr>
                <w:rFonts w:ascii="Arial" w:hAnsi="Arial" w:cs="Arial"/>
                <w:b/>
                <w:bCs/>
                <w:i/>
                <w:iCs/>
                <w:color w:val="000000"/>
                <w:sz w:val="18"/>
                <w:szCs w:val="18"/>
              </w:rPr>
              <w:t>BRCA</w:t>
            </w:r>
            <w:r w:rsidRPr="00D54BDA">
              <w:rPr>
                <w:rFonts w:ascii="Arial" w:hAnsi="Arial" w:cs="Arial"/>
                <w:b/>
                <w:bCs/>
                <w:color w:val="000000"/>
                <w:sz w:val="18"/>
                <w:szCs w:val="18"/>
              </w:rPr>
              <w:t>m</w:t>
            </w:r>
            <w:proofErr w:type="spellEnd"/>
            <w:r w:rsidRPr="00D54BDA">
              <w:rPr>
                <w:rFonts w:ascii="Arial" w:hAnsi="Arial" w:cs="Arial"/>
                <w:b/>
                <w:bCs/>
                <w:color w:val="000000"/>
                <w:sz w:val="18"/>
                <w:szCs w:val="18"/>
              </w:rPr>
              <w:t xml:space="preserve"> Advanced Ovarian Cancer</w:t>
            </w:r>
          </w:p>
          <w:p w14:paraId="3E4A4A81"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lastRenderedPageBreak/>
              <w:t>Most common adverse reactions (Grades 1-4) in ≥10% of patients who received LYNPARZA in the</w:t>
            </w:r>
            <w:r w:rsidRPr="00D54BDA">
              <w:rPr>
                <w:rFonts w:ascii="Arial" w:hAnsi="Arial" w:cs="Arial"/>
                <w:b/>
                <w:bCs/>
                <w:color w:val="000000"/>
                <w:sz w:val="18"/>
                <w:szCs w:val="18"/>
              </w:rPr>
              <w:t xml:space="preserve"> first-line maintenance setting </w:t>
            </w:r>
            <w:r w:rsidRPr="00D54BDA">
              <w:rPr>
                <w:rFonts w:ascii="Arial" w:hAnsi="Arial" w:cs="Arial"/>
                <w:color w:val="000000"/>
                <w:sz w:val="18"/>
                <w:szCs w:val="18"/>
              </w:rPr>
              <w:t>for</w:t>
            </w:r>
            <w:r w:rsidRPr="00D54BDA">
              <w:rPr>
                <w:rFonts w:ascii="Arial" w:hAnsi="Arial" w:cs="Arial"/>
                <w:b/>
                <w:bCs/>
                <w:color w:val="000000"/>
                <w:sz w:val="18"/>
                <w:szCs w:val="18"/>
              </w:rPr>
              <w:t xml:space="preserve"> SOLO-1</w:t>
            </w:r>
            <w:r w:rsidRPr="00D54BDA">
              <w:rPr>
                <w:rFonts w:ascii="Arial" w:hAnsi="Arial" w:cs="Arial"/>
                <w:color w:val="000000"/>
                <w:sz w:val="18"/>
                <w:szCs w:val="18"/>
              </w:rPr>
              <w:t xml:space="preserve"> were: nausea (77%), fatigue (67%), abdominal pain (45%), vomiting (40%), anemia (38%), diarrhea (37%), constipation (28%), upper respiratory tract infection/influenza/nasopharyngitis/bronchitis (28%), dysgeusia (26%), decreased appetite (20%), dizziness (20%), neutropenia (17%), dyspepsia (17%), dyspnea (15%), leukopenia (13%), urinary tract infection (13%), thrombocytopenia (11%), and stomatitis (11%).</w:t>
            </w:r>
          </w:p>
          <w:p w14:paraId="4318FAE6" w14:textId="77777777" w:rsidR="00D54BDA" w:rsidRPr="00D54BDA" w:rsidRDefault="00D54BDA" w:rsidP="00D54BDA">
            <w:pPr>
              <w:spacing w:after="0" w:line="240" w:lineRule="auto"/>
              <w:rPr>
                <w:rFonts w:ascii="Arial" w:hAnsi="Arial" w:cs="Arial"/>
                <w:color w:val="000000"/>
                <w:sz w:val="18"/>
                <w:szCs w:val="18"/>
              </w:rPr>
            </w:pPr>
          </w:p>
          <w:p w14:paraId="305E20B3"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laboratory abnormalities (Grades 1-4) in ≥25% of patients who received LYNPARZA in the </w:t>
            </w:r>
            <w:r w:rsidRPr="00D54BDA">
              <w:rPr>
                <w:rFonts w:ascii="Arial" w:hAnsi="Arial" w:cs="Arial"/>
                <w:b/>
                <w:bCs/>
                <w:color w:val="000000"/>
                <w:sz w:val="18"/>
                <w:szCs w:val="18"/>
              </w:rPr>
              <w:t>first-line maintenance setting</w:t>
            </w:r>
            <w:r w:rsidRPr="00D54BDA">
              <w:rPr>
                <w:rFonts w:ascii="Arial" w:hAnsi="Arial" w:cs="Arial"/>
                <w:color w:val="000000"/>
                <w:sz w:val="18"/>
                <w:szCs w:val="18"/>
              </w:rPr>
              <w:t xml:space="preserve"> for </w:t>
            </w:r>
            <w:r w:rsidRPr="00D54BDA">
              <w:rPr>
                <w:rFonts w:ascii="Arial" w:hAnsi="Arial" w:cs="Arial"/>
                <w:b/>
                <w:bCs/>
                <w:color w:val="000000"/>
                <w:sz w:val="18"/>
                <w:szCs w:val="18"/>
              </w:rPr>
              <w:t>SOLO-1</w:t>
            </w:r>
            <w:r w:rsidRPr="00D54BDA">
              <w:rPr>
                <w:rFonts w:ascii="Arial" w:hAnsi="Arial" w:cs="Arial"/>
                <w:color w:val="000000"/>
                <w:sz w:val="18"/>
                <w:szCs w:val="18"/>
              </w:rPr>
              <w:t xml:space="preserve"> were: decrease in hemoglobin (87%), increase in mean corpuscular volume (87%), decrease in leukocytes (70%), decrease in lymphocytes (67%), decrease in absolute neutrophil count (51%), decrease in platelets (35%), and increase in serum creatinine (34%).</w:t>
            </w:r>
          </w:p>
          <w:p w14:paraId="26193005" w14:textId="77777777" w:rsidR="00D54BDA" w:rsidRPr="00D54BDA" w:rsidRDefault="00D54BDA" w:rsidP="00D54BDA">
            <w:pPr>
              <w:spacing w:after="0" w:line="240" w:lineRule="auto"/>
              <w:rPr>
                <w:rFonts w:ascii="Arial" w:hAnsi="Arial" w:cs="Arial"/>
                <w:b/>
                <w:bCs/>
                <w:color w:val="000000"/>
                <w:sz w:val="18"/>
                <w:szCs w:val="18"/>
              </w:rPr>
            </w:pPr>
          </w:p>
          <w:p w14:paraId="2F54041D"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b/>
                <w:bCs/>
                <w:color w:val="000000"/>
                <w:sz w:val="18"/>
                <w:szCs w:val="18"/>
              </w:rPr>
              <w:t>ADVERSE REACTIONS—First-Line Maintenance Advanced Ovarian Cancer in Combination with Bevacizumab</w:t>
            </w:r>
            <w:r w:rsidRPr="00D54BDA">
              <w:rPr>
                <w:rFonts w:ascii="Arial" w:hAnsi="Arial" w:cs="Arial"/>
                <w:color w:val="000000"/>
                <w:sz w:val="18"/>
                <w:szCs w:val="18"/>
              </w:rPr>
              <w:t> </w:t>
            </w:r>
          </w:p>
          <w:p w14:paraId="452E8D46"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adverse reactions (Grades 1-4) in ≥10% of patients treated with LYNPARZA/bevacizumab and at a ≥5% frequency compared to placebo/bevacizumab in the </w:t>
            </w:r>
            <w:r w:rsidRPr="00D54BDA">
              <w:rPr>
                <w:rFonts w:ascii="Arial" w:hAnsi="Arial" w:cs="Arial"/>
                <w:b/>
                <w:bCs/>
                <w:color w:val="000000"/>
                <w:sz w:val="18"/>
                <w:szCs w:val="18"/>
              </w:rPr>
              <w:t>first-line maintenance setting</w:t>
            </w:r>
            <w:r w:rsidRPr="00D54BDA">
              <w:rPr>
                <w:rFonts w:ascii="Arial" w:hAnsi="Arial" w:cs="Arial"/>
                <w:color w:val="000000"/>
                <w:sz w:val="18"/>
                <w:szCs w:val="18"/>
              </w:rPr>
              <w:t xml:space="preserve"> for </w:t>
            </w:r>
            <w:r w:rsidRPr="00D54BDA">
              <w:rPr>
                <w:rFonts w:ascii="Arial" w:hAnsi="Arial" w:cs="Arial"/>
                <w:b/>
                <w:bCs/>
                <w:color w:val="000000"/>
                <w:sz w:val="18"/>
                <w:szCs w:val="18"/>
              </w:rPr>
              <w:t>PAOLA-1</w:t>
            </w:r>
            <w:r w:rsidRPr="00D54BDA">
              <w:rPr>
                <w:rFonts w:ascii="Arial" w:hAnsi="Arial" w:cs="Arial"/>
                <w:color w:val="000000"/>
                <w:sz w:val="18"/>
                <w:szCs w:val="18"/>
              </w:rPr>
              <w:t xml:space="preserve"> were: nausea (53%), fatigue (including asthenia) (53%), anemia (41%), lymphopenia (24%), vomiting (22%), and leukopenia (18%). In addition, the most common adverse reactions (≥10%) for patients receiving LYNPARZA/bevacizumab irrespective of the frequency compared with the placebo/bevacizumab arm </w:t>
            </w:r>
            <w:proofErr w:type="gramStart"/>
            <w:r w:rsidRPr="00D54BDA">
              <w:rPr>
                <w:rFonts w:ascii="Arial" w:hAnsi="Arial" w:cs="Arial"/>
                <w:color w:val="000000"/>
                <w:sz w:val="18"/>
                <w:szCs w:val="18"/>
              </w:rPr>
              <w:t>were:</w:t>
            </w:r>
            <w:proofErr w:type="gramEnd"/>
            <w:r w:rsidRPr="00D54BDA">
              <w:rPr>
                <w:rFonts w:ascii="Arial" w:hAnsi="Arial" w:cs="Arial"/>
                <w:color w:val="000000"/>
                <w:sz w:val="18"/>
                <w:szCs w:val="18"/>
              </w:rPr>
              <w:t xml:space="preserve"> diarrhea (18%), neutropenia (18%), urinary tract infection (15%), and headache (14%).</w:t>
            </w:r>
          </w:p>
          <w:p w14:paraId="25EE8DDF" w14:textId="77777777" w:rsidR="00D54BDA" w:rsidRPr="00D54BDA" w:rsidRDefault="00D54BDA" w:rsidP="00D54BDA">
            <w:pPr>
              <w:spacing w:after="0" w:line="240" w:lineRule="auto"/>
              <w:rPr>
                <w:rFonts w:ascii="Arial" w:hAnsi="Arial" w:cs="Arial"/>
                <w:color w:val="000000"/>
                <w:sz w:val="18"/>
                <w:szCs w:val="18"/>
              </w:rPr>
            </w:pPr>
          </w:p>
          <w:p w14:paraId="4BC57CE0"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In addition, venous thromboembolism occurred more commonly in patients receiving LYNPARZA/bevacizumab (5%) than in those receiving placebo/bevacizumab (1.9%). </w:t>
            </w:r>
          </w:p>
          <w:p w14:paraId="7254878C" w14:textId="77777777" w:rsidR="00D54BDA" w:rsidRPr="00D54BDA" w:rsidRDefault="00D54BDA" w:rsidP="00D54BDA">
            <w:pPr>
              <w:spacing w:after="0" w:line="240" w:lineRule="auto"/>
              <w:rPr>
                <w:rFonts w:ascii="Arial" w:hAnsi="Arial" w:cs="Arial"/>
                <w:color w:val="000000"/>
                <w:sz w:val="18"/>
                <w:szCs w:val="18"/>
              </w:rPr>
            </w:pPr>
          </w:p>
          <w:p w14:paraId="2FE0EE76"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laboratory abnormalities (Grades 1-4) in ≥25% of patients for LYNPARZA in combination with bevacizumab in the </w:t>
            </w:r>
            <w:r w:rsidRPr="00D54BDA">
              <w:rPr>
                <w:rFonts w:ascii="Arial" w:hAnsi="Arial" w:cs="Arial"/>
                <w:b/>
                <w:bCs/>
                <w:color w:val="000000"/>
                <w:sz w:val="18"/>
                <w:szCs w:val="18"/>
              </w:rPr>
              <w:t>first-line maintenance setting</w:t>
            </w:r>
            <w:r w:rsidRPr="00D54BDA">
              <w:rPr>
                <w:rFonts w:ascii="Arial" w:hAnsi="Arial" w:cs="Arial"/>
                <w:color w:val="000000"/>
                <w:sz w:val="18"/>
                <w:szCs w:val="18"/>
              </w:rPr>
              <w:t xml:space="preserve"> for </w:t>
            </w:r>
            <w:r w:rsidRPr="00D54BDA">
              <w:rPr>
                <w:rFonts w:ascii="Arial" w:hAnsi="Arial" w:cs="Arial"/>
                <w:b/>
                <w:bCs/>
                <w:color w:val="000000"/>
                <w:sz w:val="18"/>
                <w:szCs w:val="18"/>
              </w:rPr>
              <w:t>PAOLA-1</w:t>
            </w:r>
            <w:r w:rsidRPr="00D54BDA">
              <w:rPr>
                <w:rFonts w:ascii="Arial" w:hAnsi="Arial" w:cs="Arial"/>
                <w:color w:val="000000"/>
                <w:sz w:val="18"/>
                <w:szCs w:val="18"/>
              </w:rPr>
              <w:t xml:space="preserve"> were: decrease in hemoglobin (79%), decrease in lymphocytes (63%), increase in serum creatinine (61%), decrease in leukocytes (59%), decrease in absolute neutrophil count (35%), and decrease in platelets (35%).</w:t>
            </w:r>
          </w:p>
          <w:p w14:paraId="6328EE38" w14:textId="77777777" w:rsidR="00D54BDA" w:rsidRPr="00D54BDA" w:rsidRDefault="00D54BDA" w:rsidP="00D54BDA">
            <w:pPr>
              <w:spacing w:after="0" w:line="240" w:lineRule="auto"/>
              <w:rPr>
                <w:rFonts w:ascii="Arial" w:hAnsi="Arial" w:cs="Arial"/>
                <w:b/>
                <w:bCs/>
                <w:color w:val="000000"/>
                <w:sz w:val="18"/>
                <w:szCs w:val="18"/>
              </w:rPr>
            </w:pPr>
          </w:p>
          <w:p w14:paraId="3447D3E1"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b/>
                <w:bCs/>
                <w:color w:val="000000"/>
                <w:sz w:val="18"/>
                <w:szCs w:val="18"/>
              </w:rPr>
              <w:t xml:space="preserve">ADVERSE REACTIONS—Maintenance </w:t>
            </w:r>
            <w:proofErr w:type="spellStart"/>
            <w:r w:rsidRPr="00D54BDA">
              <w:rPr>
                <w:rFonts w:ascii="Arial" w:hAnsi="Arial" w:cs="Arial"/>
                <w:b/>
                <w:bCs/>
                <w:color w:val="000000"/>
                <w:sz w:val="18"/>
                <w:szCs w:val="18"/>
              </w:rPr>
              <w:t>g</w:t>
            </w:r>
            <w:r w:rsidRPr="00D54BDA">
              <w:rPr>
                <w:rFonts w:ascii="Arial" w:hAnsi="Arial" w:cs="Arial"/>
                <w:b/>
                <w:bCs/>
                <w:i/>
                <w:iCs/>
                <w:color w:val="000000"/>
                <w:sz w:val="18"/>
                <w:szCs w:val="18"/>
              </w:rPr>
              <w:t>BRCA</w:t>
            </w:r>
            <w:r w:rsidRPr="00D54BDA">
              <w:rPr>
                <w:rFonts w:ascii="Arial" w:hAnsi="Arial" w:cs="Arial"/>
                <w:b/>
                <w:bCs/>
                <w:color w:val="000000"/>
                <w:sz w:val="18"/>
                <w:szCs w:val="18"/>
              </w:rPr>
              <w:t>m</w:t>
            </w:r>
            <w:proofErr w:type="spellEnd"/>
            <w:r w:rsidRPr="00D54BDA">
              <w:rPr>
                <w:rFonts w:ascii="Arial" w:hAnsi="Arial" w:cs="Arial"/>
                <w:b/>
                <w:bCs/>
                <w:color w:val="000000"/>
                <w:sz w:val="18"/>
                <w:szCs w:val="18"/>
              </w:rPr>
              <w:t xml:space="preserve"> Recurrent Ovarian Cancer</w:t>
            </w:r>
            <w:r w:rsidRPr="00D54BDA">
              <w:rPr>
                <w:rFonts w:ascii="Arial" w:hAnsi="Arial" w:cs="Arial"/>
                <w:color w:val="000000"/>
                <w:sz w:val="18"/>
                <w:szCs w:val="18"/>
              </w:rPr>
              <w:t> </w:t>
            </w:r>
          </w:p>
          <w:p w14:paraId="42982A0B"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adverse reactions (Grades 1-4) in ≥20% of patients who received LYNPARZA in the </w:t>
            </w:r>
            <w:r w:rsidRPr="00D54BDA">
              <w:rPr>
                <w:rFonts w:ascii="Arial" w:hAnsi="Arial" w:cs="Arial"/>
                <w:b/>
                <w:bCs/>
                <w:color w:val="000000"/>
                <w:sz w:val="18"/>
                <w:szCs w:val="18"/>
              </w:rPr>
              <w:t>maintenance setting</w:t>
            </w:r>
            <w:r w:rsidRPr="00D54BDA">
              <w:rPr>
                <w:rFonts w:ascii="Arial" w:hAnsi="Arial" w:cs="Arial"/>
                <w:color w:val="000000"/>
                <w:sz w:val="18"/>
                <w:szCs w:val="18"/>
              </w:rPr>
              <w:t xml:space="preserve"> for </w:t>
            </w:r>
            <w:r w:rsidRPr="00D54BDA">
              <w:rPr>
                <w:rFonts w:ascii="Arial" w:hAnsi="Arial" w:cs="Arial"/>
                <w:b/>
                <w:bCs/>
                <w:color w:val="000000"/>
                <w:sz w:val="18"/>
                <w:szCs w:val="18"/>
              </w:rPr>
              <w:t>SOLO-2</w:t>
            </w:r>
            <w:r w:rsidRPr="00D54BDA">
              <w:rPr>
                <w:rFonts w:ascii="Arial" w:hAnsi="Arial" w:cs="Arial"/>
                <w:color w:val="000000"/>
                <w:sz w:val="18"/>
                <w:szCs w:val="18"/>
              </w:rPr>
              <w:t xml:space="preserve"> were: nausea (76%), fatigue (including asthenia) (66%), anemia (44%), vomiting (37%), nasopharyngitis/upper respiratory tract infection (URI)/influenza (36%), diarrhea (33%), arthralgia/myalgia (30%), dysgeusia (27%), headache (26%), decreased appetite (22%), and stomatitis (20%).</w:t>
            </w:r>
          </w:p>
          <w:p w14:paraId="6291B086" w14:textId="77777777" w:rsidR="00D54BDA" w:rsidRPr="00D54BDA" w:rsidRDefault="00D54BDA" w:rsidP="00D54BDA">
            <w:pPr>
              <w:spacing w:after="0" w:line="240" w:lineRule="auto"/>
              <w:rPr>
                <w:rFonts w:ascii="Arial" w:hAnsi="Arial" w:cs="Arial"/>
                <w:color w:val="000000"/>
                <w:sz w:val="18"/>
                <w:szCs w:val="18"/>
              </w:rPr>
            </w:pPr>
          </w:p>
          <w:p w14:paraId="0A2DFE4B"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laboratory abnormalities (Grades 1-4) in ≥25% of patients who received LYNPARZA in the </w:t>
            </w:r>
            <w:r w:rsidRPr="00D54BDA">
              <w:rPr>
                <w:rFonts w:ascii="Arial" w:hAnsi="Arial" w:cs="Arial"/>
                <w:b/>
                <w:bCs/>
                <w:color w:val="000000"/>
                <w:sz w:val="18"/>
                <w:szCs w:val="18"/>
              </w:rPr>
              <w:t xml:space="preserve">maintenance setting </w:t>
            </w:r>
            <w:r w:rsidRPr="00D54BDA">
              <w:rPr>
                <w:rFonts w:ascii="Arial" w:hAnsi="Arial" w:cs="Arial"/>
                <w:color w:val="000000"/>
                <w:sz w:val="18"/>
                <w:szCs w:val="18"/>
              </w:rPr>
              <w:t>for</w:t>
            </w:r>
            <w:r w:rsidRPr="00D54BDA">
              <w:rPr>
                <w:rFonts w:ascii="Arial" w:hAnsi="Arial" w:cs="Arial"/>
                <w:b/>
                <w:bCs/>
                <w:color w:val="000000"/>
                <w:sz w:val="18"/>
                <w:szCs w:val="18"/>
              </w:rPr>
              <w:t xml:space="preserve"> SOLO-2</w:t>
            </w:r>
            <w:r w:rsidRPr="00D54BDA">
              <w:rPr>
                <w:rFonts w:ascii="Arial" w:hAnsi="Arial" w:cs="Arial"/>
                <w:color w:val="000000"/>
                <w:sz w:val="18"/>
                <w:szCs w:val="18"/>
              </w:rPr>
              <w:t xml:space="preserve"> were: increase in mean corpuscular volume (89%), decrease in hemoglobin (83%), decrease in leukocytes (69%), decrease in lymphocytes (67%), decrease in absolute neutrophil count (51%), increase in serum creatinine (44%), and decrease in platelets (42%).</w:t>
            </w:r>
          </w:p>
          <w:p w14:paraId="21812F28" w14:textId="77777777" w:rsidR="00D54BDA" w:rsidRPr="00D54BDA" w:rsidRDefault="00D54BDA" w:rsidP="00D54BDA">
            <w:pPr>
              <w:spacing w:after="0" w:line="240" w:lineRule="auto"/>
              <w:rPr>
                <w:rFonts w:ascii="Arial" w:hAnsi="Arial" w:cs="Arial"/>
                <w:b/>
                <w:bCs/>
                <w:color w:val="000000"/>
                <w:sz w:val="18"/>
                <w:szCs w:val="18"/>
              </w:rPr>
            </w:pPr>
          </w:p>
          <w:p w14:paraId="73FAD5F0"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b/>
                <w:bCs/>
                <w:color w:val="000000"/>
                <w:sz w:val="18"/>
                <w:szCs w:val="18"/>
              </w:rPr>
              <w:t xml:space="preserve">ADVERSE REACTIONS—Adjuvant Treatment of </w:t>
            </w:r>
            <w:proofErr w:type="spellStart"/>
            <w:r w:rsidRPr="00D54BDA">
              <w:rPr>
                <w:rFonts w:ascii="Arial" w:hAnsi="Arial" w:cs="Arial"/>
                <w:b/>
                <w:bCs/>
                <w:color w:val="000000"/>
                <w:sz w:val="18"/>
                <w:szCs w:val="18"/>
              </w:rPr>
              <w:t>g</w:t>
            </w:r>
            <w:r w:rsidRPr="00D54BDA">
              <w:rPr>
                <w:rFonts w:ascii="Arial" w:hAnsi="Arial" w:cs="Arial"/>
                <w:b/>
                <w:bCs/>
                <w:i/>
                <w:iCs/>
                <w:color w:val="000000"/>
                <w:sz w:val="18"/>
                <w:szCs w:val="18"/>
              </w:rPr>
              <w:t>BRCA</w:t>
            </w:r>
            <w:r w:rsidRPr="00D54BDA">
              <w:rPr>
                <w:rFonts w:ascii="Arial" w:hAnsi="Arial" w:cs="Arial"/>
                <w:b/>
                <w:bCs/>
                <w:color w:val="000000"/>
                <w:sz w:val="18"/>
                <w:szCs w:val="18"/>
              </w:rPr>
              <w:t>m</w:t>
            </w:r>
            <w:proofErr w:type="spellEnd"/>
            <w:r w:rsidRPr="00D54BDA">
              <w:rPr>
                <w:rFonts w:ascii="Arial" w:hAnsi="Arial" w:cs="Arial"/>
                <w:b/>
                <w:bCs/>
                <w:color w:val="000000"/>
                <w:sz w:val="18"/>
                <w:szCs w:val="18"/>
              </w:rPr>
              <w:t>, HER2-Negative, High-Risk Early Breast Cancer</w:t>
            </w:r>
          </w:p>
          <w:p w14:paraId="78EE522B"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adverse reactions (Grades 1-4) in ≥10% of patients who received LYNPARZA in the </w:t>
            </w:r>
            <w:r w:rsidRPr="00D54BDA">
              <w:rPr>
                <w:rFonts w:ascii="Arial" w:hAnsi="Arial" w:cs="Arial"/>
                <w:b/>
                <w:bCs/>
                <w:color w:val="000000"/>
                <w:sz w:val="18"/>
                <w:szCs w:val="18"/>
              </w:rPr>
              <w:t>adjuvant setting</w:t>
            </w:r>
            <w:r w:rsidRPr="00D54BDA">
              <w:rPr>
                <w:rFonts w:ascii="Arial" w:hAnsi="Arial" w:cs="Arial"/>
                <w:color w:val="000000"/>
                <w:sz w:val="18"/>
                <w:szCs w:val="18"/>
              </w:rPr>
              <w:t xml:space="preserve"> for </w:t>
            </w:r>
            <w:proofErr w:type="spellStart"/>
            <w:r w:rsidRPr="00D54BDA">
              <w:rPr>
                <w:rFonts w:ascii="Arial" w:hAnsi="Arial" w:cs="Arial"/>
                <w:b/>
                <w:bCs/>
                <w:color w:val="000000"/>
                <w:sz w:val="18"/>
                <w:szCs w:val="18"/>
              </w:rPr>
              <w:t>OlympiA</w:t>
            </w:r>
            <w:proofErr w:type="spellEnd"/>
            <w:r w:rsidRPr="00D54BDA">
              <w:rPr>
                <w:rFonts w:ascii="Arial" w:hAnsi="Arial" w:cs="Arial"/>
                <w:color w:val="000000"/>
                <w:sz w:val="18"/>
                <w:szCs w:val="18"/>
              </w:rPr>
              <w:t xml:space="preserve"> were: nausea (57%), fatigue (including asthenia) (42%), anemia (24%), vomiting (23%), headache (20%), diarrhea (18%), leukopenia (17%), neutropenia (16%), decreased appetite (13%), dysgeusia (12%), dizziness (11%), and stomatitis (10%).</w:t>
            </w:r>
          </w:p>
          <w:p w14:paraId="69D330BB" w14:textId="77777777" w:rsidR="00D54BDA" w:rsidRPr="00D54BDA" w:rsidRDefault="00D54BDA" w:rsidP="00D54BDA">
            <w:pPr>
              <w:spacing w:after="0" w:line="240" w:lineRule="auto"/>
              <w:rPr>
                <w:rFonts w:ascii="Arial" w:hAnsi="Arial" w:cs="Arial"/>
                <w:color w:val="000000"/>
                <w:sz w:val="18"/>
                <w:szCs w:val="18"/>
              </w:rPr>
            </w:pPr>
          </w:p>
          <w:p w14:paraId="6601728A"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laboratory abnormalities (Grades 1-4) in ≥25% of patients who received LYNPARZA in the </w:t>
            </w:r>
            <w:r w:rsidRPr="00D54BDA">
              <w:rPr>
                <w:rFonts w:ascii="Arial" w:hAnsi="Arial" w:cs="Arial"/>
                <w:b/>
                <w:bCs/>
                <w:color w:val="000000"/>
                <w:sz w:val="18"/>
                <w:szCs w:val="18"/>
              </w:rPr>
              <w:t xml:space="preserve">adjuvant setting </w:t>
            </w:r>
            <w:r w:rsidRPr="00D54BDA">
              <w:rPr>
                <w:rFonts w:ascii="Arial" w:hAnsi="Arial" w:cs="Arial"/>
                <w:color w:val="000000"/>
                <w:sz w:val="18"/>
                <w:szCs w:val="18"/>
              </w:rPr>
              <w:t xml:space="preserve">for </w:t>
            </w:r>
            <w:proofErr w:type="spellStart"/>
            <w:r w:rsidRPr="00D54BDA">
              <w:rPr>
                <w:rFonts w:ascii="Arial" w:hAnsi="Arial" w:cs="Arial"/>
                <w:b/>
                <w:bCs/>
                <w:color w:val="000000"/>
                <w:sz w:val="18"/>
                <w:szCs w:val="18"/>
              </w:rPr>
              <w:t>OlympiA</w:t>
            </w:r>
            <w:proofErr w:type="spellEnd"/>
            <w:r w:rsidRPr="00D54BDA">
              <w:rPr>
                <w:rFonts w:ascii="Arial" w:hAnsi="Arial" w:cs="Arial"/>
                <w:color w:val="000000"/>
                <w:sz w:val="18"/>
                <w:szCs w:val="18"/>
              </w:rPr>
              <w:t xml:space="preserve"> were: decrease in lymphocytes (77%), increase in mean corpuscular volume (67%), decrease in hemoglobin (65%), decrease in leukocytes (64%), and decrease in absolute neutrophil count (39%).</w:t>
            </w:r>
          </w:p>
          <w:p w14:paraId="6093F498" w14:textId="77777777" w:rsidR="00D54BDA" w:rsidRPr="00D54BDA" w:rsidRDefault="00D54BDA" w:rsidP="00D54BDA">
            <w:pPr>
              <w:spacing w:after="0" w:line="240" w:lineRule="auto"/>
              <w:rPr>
                <w:rFonts w:ascii="Arial" w:hAnsi="Arial" w:cs="Arial"/>
                <w:b/>
                <w:bCs/>
                <w:color w:val="000000"/>
                <w:sz w:val="18"/>
                <w:szCs w:val="18"/>
              </w:rPr>
            </w:pPr>
          </w:p>
          <w:p w14:paraId="271B4A9B"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b/>
                <w:bCs/>
                <w:color w:val="000000"/>
                <w:sz w:val="18"/>
                <w:szCs w:val="18"/>
              </w:rPr>
              <w:t>ADVERSE REACTIONS—</w:t>
            </w:r>
            <w:proofErr w:type="spellStart"/>
            <w:r w:rsidRPr="00D54BDA">
              <w:rPr>
                <w:rFonts w:ascii="Arial" w:hAnsi="Arial" w:cs="Arial"/>
                <w:b/>
                <w:bCs/>
                <w:color w:val="000000"/>
                <w:sz w:val="18"/>
                <w:szCs w:val="18"/>
              </w:rPr>
              <w:t>g</w:t>
            </w:r>
            <w:r w:rsidRPr="00D54BDA">
              <w:rPr>
                <w:rFonts w:ascii="Arial" w:hAnsi="Arial" w:cs="Arial"/>
                <w:b/>
                <w:bCs/>
                <w:i/>
                <w:iCs/>
                <w:color w:val="000000"/>
                <w:sz w:val="18"/>
                <w:szCs w:val="18"/>
              </w:rPr>
              <w:t>BRCA</w:t>
            </w:r>
            <w:r w:rsidRPr="00D54BDA">
              <w:rPr>
                <w:rFonts w:ascii="Arial" w:hAnsi="Arial" w:cs="Arial"/>
                <w:b/>
                <w:bCs/>
                <w:color w:val="000000"/>
                <w:sz w:val="18"/>
                <w:szCs w:val="18"/>
              </w:rPr>
              <w:t>m</w:t>
            </w:r>
            <w:proofErr w:type="spellEnd"/>
            <w:r w:rsidRPr="00D54BDA">
              <w:rPr>
                <w:rFonts w:ascii="Arial" w:hAnsi="Arial" w:cs="Arial"/>
                <w:b/>
                <w:bCs/>
                <w:color w:val="000000"/>
                <w:sz w:val="18"/>
                <w:szCs w:val="18"/>
              </w:rPr>
              <w:t>, HER2-Negative Metastatic Breast Cancer</w:t>
            </w:r>
          </w:p>
          <w:p w14:paraId="5D09D88D"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adverse reactions (Grades 1-4) in ≥20% of patients who received LYNPARZA in the </w:t>
            </w:r>
            <w:r w:rsidRPr="00D54BDA">
              <w:rPr>
                <w:rFonts w:ascii="Arial" w:hAnsi="Arial" w:cs="Arial"/>
                <w:b/>
                <w:bCs/>
                <w:color w:val="000000"/>
                <w:sz w:val="18"/>
                <w:szCs w:val="18"/>
              </w:rPr>
              <w:t>metastatic setting</w:t>
            </w:r>
            <w:r w:rsidRPr="00D54BDA">
              <w:rPr>
                <w:rFonts w:ascii="Arial" w:hAnsi="Arial" w:cs="Arial"/>
                <w:color w:val="000000"/>
                <w:sz w:val="18"/>
                <w:szCs w:val="18"/>
              </w:rPr>
              <w:t xml:space="preserve"> for </w:t>
            </w:r>
            <w:proofErr w:type="spellStart"/>
            <w:r w:rsidRPr="00D54BDA">
              <w:rPr>
                <w:rFonts w:ascii="Arial" w:hAnsi="Arial" w:cs="Arial"/>
                <w:b/>
                <w:bCs/>
                <w:color w:val="000000"/>
                <w:sz w:val="18"/>
                <w:szCs w:val="18"/>
              </w:rPr>
              <w:t>OlympiAD</w:t>
            </w:r>
            <w:proofErr w:type="spellEnd"/>
            <w:r w:rsidRPr="00D54BDA">
              <w:rPr>
                <w:rFonts w:ascii="Arial" w:hAnsi="Arial" w:cs="Arial"/>
                <w:color w:val="000000"/>
                <w:sz w:val="18"/>
                <w:szCs w:val="18"/>
              </w:rPr>
              <w:t xml:space="preserve"> were: nausea (58%), anemia (40%), fatigue (including asthenia) (37%), vomiting (30%), neutropenia (27%), respiratory tract infection (27%), leukopenia (25%), diarrhea (21%), and headache (20%).</w:t>
            </w:r>
          </w:p>
          <w:p w14:paraId="5DC5748F" w14:textId="77777777" w:rsidR="00D54BDA" w:rsidRPr="00D54BDA" w:rsidRDefault="00D54BDA" w:rsidP="00D54BDA">
            <w:pPr>
              <w:spacing w:after="0" w:line="240" w:lineRule="auto"/>
              <w:rPr>
                <w:rFonts w:ascii="Arial" w:hAnsi="Arial" w:cs="Arial"/>
                <w:color w:val="000000"/>
                <w:sz w:val="18"/>
                <w:szCs w:val="18"/>
              </w:rPr>
            </w:pPr>
          </w:p>
          <w:p w14:paraId="7B157BE5" w14:textId="77777777" w:rsidR="00D54BDA" w:rsidRPr="00D54BDA" w:rsidRDefault="00D54BDA" w:rsidP="00D54BDA">
            <w:pPr>
              <w:spacing w:after="0" w:line="240" w:lineRule="auto"/>
              <w:rPr>
                <w:rFonts w:ascii="Arial" w:hAnsi="Arial" w:cs="Arial"/>
                <w:color w:val="000000"/>
                <w:sz w:val="18"/>
                <w:szCs w:val="18"/>
              </w:rPr>
            </w:pPr>
            <w:r w:rsidRPr="00D54BDA">
              <w:rPr>
                <w:rFonts w:ascii="Arial" w:hAnsi="Arial" w:cs="Arial"/>
                <w:color w:val="000000"/>
                <w:sz w:val="18"/>
                <w:szCs w:val="18"/>
              </w:rPr>
              <w:t xml:space="preserve">Most common laboratory abnormalities (Grades 1-4) in ≥25% of patients who received LYNPARZA in the </w:t>
            </w:r>
            <w:r w:rsidRPr="00D54BDA">
              <w:rPr>
                <w:rFonts w:ascii="Arial" w:hAnsi="Arial" w:cs="Arial"/>
                <w:b/>
                <w:bCs/>
                <w:color w:val="000000"/>
                <w:sz w:val="18"/>
                <w:szCs w:val="18"/>
              </w:rPr>
              <w:t>metastatic setting</w:t>
            </w:r>
            <w:r w:rsidRPr="00D54BDA">
              <w:rPr>
                <w:rFonts w:ascii="Arial" w:hAnsi="Arial" w:cs="Arial"/>
                <w:color w:val="000000"/>
                <w:sz w:val="18"/>
                <w:szCs w:val="18"/>
              </w:rPr>
              <w:t xml:space="preserve"> for </w:t>
            </w:r>
            <w:proofErr w:type="spellStart"/>
            <w:r w:rsidRPr="00D54BDA">
              <w:rPr>
                <w:rFonts w:ascii="Arial" w:hAnsi="Arial" w:cs="Arial"/>
                <w:b/>
                <w:bCs/>
                <w:color w:val="000000"/>
                <w:sz w:val="18"/>
                <w:szCs w:val="18"/>
              </w:rPr>
              <w:t>OlympiAD</w:t>
            </w:r>
            <w:proofErr w:type="spellEnd"/>
            <w:r w:rsidRPr="00D54BDA">
              <w:rPr>
                <w:rFonts w:ascii="Arial" w:hAnsi="Arial" w:cs="Arial"/>
                <w:color w:val="000000"/>
                <w:sz w:val="18"/>
                <w:szCs w:val="18"/>
              </w:rPr>
              <w:t xml:space="preserve"> were: decrease in hemoglobin (82%), decrease in lymphocytes (73%), decrease in leukocytes (71%), increase in mean corpuscular volume (71%), decrease in absolute neutrophil count (46%), and decrease in platelets (33%).</w:t>
            </w:r>
          </w:p>
          <w:p w14:paraId="023EFA41" w14:textId="77777777" w:rsidR="00D54BDA" w:rsidRPr="00D54BDA" w:rsidRDefault="00D54BDA" w:rsidP="00D54BDA">
            <w:pPr>
              <w:spacing w:after="0" w:line="240" w:lineRule="auto"/>
              <w:rPr>
                <w:rFonts w:ascii="Arial" w:hAnsi="Arial" w:cs="Arial"/>
                <w:b/>
                <w:bCs/>
                <w:color w:val="000000"/>
                <w:sz w:val="18"/>
                <w:szCs w:val="18"/>
              </w:rPr>
            </w:pPr>
          </w:p>
          <w:p w14:paraId="45133F0B"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b/>
                <w:bCs/>
                <w:color w:val="000000"/>
                <w:sz w:val="18"/>
                <w:szCs w:val="18"/>
              </w:rPr>
              <w:lastRenderedPageBreak/>
              <w:t>ADVERSE REACTIONS—HRR Gene-mutated Metastatic Castration-Resistant Prostate Cancer</w:t>
            </w:r>
          </w:p>
          <w:p w14:paraId="0E666204"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color w:val="000000"/>
                <w:sz w:val="18"/>
                <w:szCs w:val="18"/>
              </w:rPr>
              <w:t xml:space="preserve">Most common adverse reactions (Grades 1-4) in ≥10% of patients who received LYNPARZA for </w:t>
            </w:r>
            <w:proofErr w:type="spellStart"/>
            <w:r w:rsidRPr="00D54BDA">
              <w:rPr>
                <w:rFonts w:ascii="Arial" w:eastAsia="Calibri" w:hAnsi="Arial" w:cs="Arial"/>
                <w:b/>
                <w:bCs/>
                <w:color w:val="000000"/>
                <w:sz w:val="18"/>
                <w:szCs w:val="18"/>
              </w:rPr>
              <w:t>PROfound</w:t>
            </w:r>
            <w:proofErr w:type="spellEnd"/>
            <w:r w:rsidRPr="00D54BDA">
              <w:rPr>
                <w:rFonts w:ascii="Arial" w:eastAsia="Calibri" w:hAnsi="Arial" w:cs="Arial"/>
                <w:color w:val="000000"/>
                <w:sz w:val="18"/>
                <w:szCs w:val="18"/>
              </w:rPr>
              <w:t xml:space="preserve"> were: anemia (46%), fatigue (including asthenia) (41%), nausea (41%), decreased appetite (30%), diarrhea (21%), vomiting (18%), thrombocytopenia (12%), cough (11%), and dyspnea (10%).</w:t>
            </w:r>
          </w:p>
          <w:p w14:paraId="08CAF5D8" w14:textId="77777777" w:rsidR="00D54BDA" w:rsidRPr="00D54BDA" w:rsidRDefault="00D54BDA" w:rsidP="00D54BDA">
            <w:pPr>
              <w:spacing w:after="0" w:line="240" w:lineRule="auto"/>
              <w:rPr>
                <w:rFonts w:ascii="Arial" w:eastAsia="Calibri" w:hAnsi="Arial" w:cs="Arial"/>
                <w:color w:val="000000"/>
                <w:sz w:val="18"/>
                <w:szCs w:val="18"/>
              </w:rPr>
            </w:pPr>
          </w:p>
          <w:p w14:paraId="6D461065"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color w:val="000000"/>
                <w:sz w:val="18"/>
                <w:szCs w:val="18"/>
              </w:rPr>
              <w:t xml:space="preserve">Most common laboratory abnormalities (Grades 1-4) in ≥25% of patients who received LYNPARZA for </w:t>
            </w:r>
            <w:proofErr w:type="spellStart"/>
            <w:r w:rsidRPr="00D54BDA">
              <w:rPr>
                <w:rFonts w:ascii="Arial" w:eastAsia="Calibri" w:hAnsi="Arial" w:cs="Arial"/>
                <w:b/>
                <w:bCs/>
                <w:color w:val="000000"/>
                <w:sz w:val="18"/>
                <w:szCs w:val="18"/>
              </w:rPr>
              <w:t>PROfound</w:t>
            </w:r>
            <w:proofErr w:type="spellEnd"/>
            <w:r w:rsidRPr="00D54BDA">
              <w:rPr>
                <w:rFonts w:ascii="Arial" w:eastAsia="Calibri" w:hAnsi="Arial" w:cs="Arial"/>
                <w:color w:val="000000"/>
                <w:sz w:val="18"/>
                <w:szCs w:val="18"/>
              </w:rPr>
              <w:t xml:space="preserve"> were: decrease in hemoglobin (98%), decrease in lymphocytes (62%), decrease in leukocytes (53%), and decrease in absolute neutrophil count (34%).</w:t>
            </w:r>
          </w:p>
          <w:p w14:paraId="33EFE3FC" w14:textId="77777777" w:rsidR="00D54BDA" w:rsidRPr="00D54BDA" w:rsidRDefault="00D54BDA" w:rsidP="00D54BDA">
            <w:pPr>
              <w:spacing w:after="0" w:line="240" w:lineRule="auto"/>
              <w:rPr>
                <w:rFonts w:ascii="Arial" w:eastAsia="Calibri" w:hAnsi="Arial" w:cs="Arial"/>
                <w:b/>
                <w:bCs/>
                <w:color w:val="000000"/>
                <w:sz w:val="18"/>
                <w:szCs w:val="18"/>
              </w:rPr>
            </w:pPr>
          </w:p>
          <w:p w14:paraId="150A069A"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b/>
                <w:bCs/>
                <w:color w:val="000000"/>
                <w:sz w:val="18"/>
                <w:szCs w:val="18"/>
              </w:rPr>
              <w:t>ADVERSE REACTIONS—Metastatic Castration-Resistant Prostate Cancer in Combination with Abiraterone and Prednisone or Prednisolone</w:t>
            </w:r>
            <w:r w:rsidRPr="00D54BDA">
              <w:rPr>
                <w:rFonts w:ascii="Arial" w:eastAsia="Calibri" w:hAnsi="Arial" w:cs="Arial"/>
                <w:color w:val="000000"/>
                <w:sz w:val="18"/>
                <w:szCs w:val="18"/>
              </w:rPr>
              <w:t> </w:t>
            </w:r>
          </w:p>
          <w:p w14:paraId="3CAC036F"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color w:val="000000"/>
                <w:sz w:val="18"/>
                <w:szCs w:val="18"/>
              </w:rPr>
              <w:t xml:space="preserve">Most common adverse reactions (Grades 1-4) in ≥10% of patients who received LYNPARZA/abiraterone with a difference of ≥5% compared to placebo for </w:t>
            </w:r>
            <w:proofErr w:type="spellStart"/>
            <w:r w:rsidRPr="00D54BDA">
              <w:rPr>
                <w:rFonts w:ascii="Arial" w:eastAsia="Calibri" w:hAnsi="Arial" w:cs="Arial"/>
                <w:b/>
                <w:bCs/>
                <w:color w:val="000000"/>
                <w:sz w:val="18"/>
                <w:szCs w:val="18"/>
              </w:rPr>
              <w:t>PROpel</w:t>
            </w:r>
            <w:proofErr w:type="spellEnd"/>
            <w:r w:rsidRPr="00D54BDA">
              <w:rPr>
                <w:rFonts w:ascii="Arial" w:eastAsia="Calibri" w:hAnsi="Arial" w:cs="Arial"/>
                <w:color w:val="000000"/>
                <w:sz w:val="18"/>
                <w:szCs w:val="18"/>
              </w:rPr>
              <w:t xml:space="preserve"> were: anemia (48%), fatigue (including asthenia) (38%), nausea (30%), diarrhea (19%), decreased appetite (16%), lymphopenia (14%), dizziness (14%), and abdominal pain (13%). </w:t>
            </w:r>
          </w:p>
          <w:p w14:paraId="2E0C89B9" w14:textId="77777777" w:rsidR="00D54BDA" w:rsidRPr="00D54BDA" w:rsidRDefault="00D54BDA" w:rsidP="00D54BDA">
            <w:pPr>
              <w:spacing w:after="0" w:line="240" w:lineRule="auto"/>
              <w:rPr>
                <w:rFonts w:ascii="Arial" w:eastAsia="Calibri" w:hAnsi="Arial" w:cs="Arial"/>
                <w:color w:val="000000"/>
                <w:sz w:val="18"/>
                <w:szCs w:val="18"/>
              </w:rPr>
            </w:pPr>
          </w:p>
          <w:p w14:paraId="320C543A"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color w:val="000000"/>
                <w:sz w:val="18"/>
                <w:szCs w:val="18"/>
              </w:rPr>
              <w:t xml:space="preserve">Most common laboratory abnormalities (Grades 1-4) in ≥20% of patients who received LYNPARZA/abiraterone for </w:t>
            </w:r>
            <w:proofErr w:type="spellStart"/>
            <w:r w:rsidRPr="00D54BDA">
              <w:rPr>
                <w:rFonts w:ascii="Arial" w:eastAsia="Calibri" w:hAnsi="Arial" w:cs="Arial"/>
                <w:b/>
                <w:bCs/>
                <w:color w:val="000000"/>
                <w:sz w:val="18"/>
                <w:szCs w:val="18"/>
              </w:rPr>
              <w:t>PROpel</w:t>
            </w:r>
            <w:proofErr w:type="spellEnd"/>
            <w:r w:rsidRPr="00D54BDA">
              <w:rPr>
                <w:rFonts w:ascii="Arial" w:eastAsia="Calibri" w:hAnsi="Arial" w:cs="Arial"/>
                <w:color w:val="000000"/>
                <w:sz w:val="18"/>
                <w:szCs w:val="18"/>
              </w:rPr>
              <w:t xml:space="preserve"> were: decrease in hemoglobin (97%), decrease in lymphocytes (70%), decrease in platelets (23%), and decrease in absolute neutrophil count (23%). </w:t>
            </w:r>
          </w:p>
          <w:p w14:paraId="1E07FCA1" w14:textId="77777777" w:rsidR="00D54BDA" w:rsidRPr="00D54BDA" w:rsidRDefault="00D54BDA" w:rsidP="00D54BDA">
            <w:pPr>
              <w:spacing w:after="0" w:line="240" w:lineRule="auto"/>
              <w:rPr>
                <w:rFonts w:ascii="Arial" w:hAnsi="Arial" w:cs="Arial"/>
                <w:b/>
                <w:bCs/>
                <w:sz w:val="18"/>
                <w:szCs w:val="18"/>
              </w:rPr>
            </w:pPr>
          </w:p>
          <w:p w14:paraId="337371DF" w14:textId="77777777" w:rsidR="00D54BDA" w:rsidRPr="00D54BDA" w:rsidRDefault="00D54BDA" w:rsidP="00D54BDA">
            <w:pPr>
              <w:spacing w:after="0" w:line="240" w:lineRule="auto"/>
              <w:rPr>
                <w:rFonts w:ascii="Arial" w:hAnsi="Arial" w:cs="Arial"/>
                <w:b/>
                <w:bCs/>
                <w:sz w:val="18"/>
                <w:szCs w:val="18"/>
              </w:rPr>
            </w:pPr>
            <w:r w:rsidRPr="00D54BDA">
              <w:rPr>
                <w:rFonts w:ascii="Arial" w:hAnsi="Arial" w:cs="Arial"/>
                <w:b/>
                <w:bCs/>
                <w:sz w:val="18"/>
                <w:szCs w:val="18"/>
              </w:rPr>
              <w:t>DRUG INTERACTIONS</w:t>
            </w:r>
          </w:p>
          <w:p w14:paraId="6EE4597E"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Anticancer Agents:</w:t>
            </w:r>
            <w:r w:rsidRPr="00D54BDA">
              <w:rPr>
                <w:rFonts w:ascii="Arial" w:hAnsi="Arial" w:cs="Arial"/>
                <w:sz w:val="18"/>
                <w:szCs w:val="18"/>
              </w:rPr>
              <w:t xml:space="preserve"> Clinical studies of LYNPARZA with other myelosuppressive anticancer agents, including DNA-damaging agents, indicate a potentiation and prolongation of myelosuppressive toxicity.</w:t>
            </w:r>
          </w:p>
          <w:p w14:paraId="494A1CAD" w14:textId="77777777" w:rsidR="00D54BDA" w:rsidRPr="00D54BDA" w:rsidRDefault="00D54BDA" w:rsidP="00D54BDA">
            <w:pPr>
              <w:spacing w:after="0" w:line="240" w:lineRule="auto"/>
              <w:rPr>
                <w:rFonts w:ascii="Arial" w:hAnsi="Arial" w:cs="Arial"/>
                <w:sz w:val="18"/>
                <w:szCs w:val="18"/>
              </w:rPr>
            </w:pPr>
          </w:p>
          <w:p w14:paraId="3B3AF3E3"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CYP3A Inhibitors:</w:t>
            </w:r>
            <w:r w:rsidRPr="00D54BDA">
              <w:rPr>
                <w:rFonts w:ascii="Arial" w:hAnsi="Arial" w:cs="Arial"/>
                <w:sz w:val="18"/>
                <w:szCs w:val="18"/>
              </w:rPr>
              <w:t xml:space="preserve"> Avoid coadministration of strong or moderate CYP3A inhibitors when using LYNPARZA. If a strong or moderate CYP3A inhibitor must be </w:t>
            </w:r>
            <w:proofErr w:type="spellStart"/>
            <w:r w:rsidRPr="00D54BDA">
              <w:rPr>
                <w:rFonts w:ascii="Arial" w:hAnsi="Arial" w:cs="Arial"/>
                <w:sz w:val="18"/>
                <w:szCs w:val="18"/>
              </w:rPr>
              <w:t>coadministered</w:t>
            </w:r>
            <w:proofErr w:type="spellEnd"/>
            <w:r w:rsidRPr="00D54BDA">
              <w:rPr>
                <w:rFonts w:ascii="Arial" w:hAnsi="Arial" w:cs="Arial"/>
                <w:sz w:val="18"/>
                <w:szCs w:val="18"/>
              </w:rPr>
              <w:t>, reduce the dose of LYNPARZA. Advise patients to avoid grapefruit, grapefruit juice, Seville oranges, and Seville orange juice during LYNPARZA treatment.</w:t>
            </w:r>
          </w:p>
          <w:p w14:paraId="5FAB198A" w14:textId="77777777" w:rsidR="00D54BDA" w:rsidRPr="00D54BDA" w:rsidRDefault="00D54BDA" w:rsidP="00D54BDA">
            <w:pPr>
              <w:spacing w:after="0" w:line="240" w:lineRule="auto"/>
              <w:rPr>
                <w:rFonts w:ascii="Arial" w:hAnsi="Arial" w:cs="Arial"/>
                <w:b/>
                <w:bCs/>
                <w:sz w:val="18"/>
                <w:szCs w:val="18"/>
              </w:rPr>
            </w:pPr>
          </w:p>
          <w:p w14:paraId="41FFA750"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CYP3A Inducers:</w:t>
            </w:r>
            <w:r w:rsidRPr="00D54BDA">
              <w:rPr>
                <w:rFonts w:ascii="Arial" w:hAnsi="Arial" w:cs="Arial"/>
                <w:sz w:val="18"/>
                <w:szCs w:val="18"/>
              </w:rPr>
              <w:t xml:space="preserve"> Avoid coadministration of strong or moderate CYP3A inducers when using LYNPARZA.</w:t>
            </w:r>
          </w:p>
          <w:p w14:paraId="07C27C49" w14:textId="77777777" w:rsidR="00D54BDA" w:rsidRPr="00D54BDA" w:rsidRDefault="00D54BDA" w:rsidP="00D54BDA">
            <w:pPr>
              <w:spacing w:after="0" w:line="240" w:lineRule="auto"/>
              <w:rPr>
                <w:rFonts w:ascii="Arial" w:hAnsi="Arial" w:cs="Arial"/>
                <w:sz w:val="18"/>
                <w:szCs w:val="18"/>
              </w:rPr>
            </w:pPr>
          </w:p>
          <w:p w14:paraId="4B26B64A" w14:textId="77777777" w:rsidR="00D54BDA" w:rsidRPr="00D54BDA" w:rsidRDefault="00D54BDA" w:rsidP="00D54BDA">
            <w:pPr>
              <w:spacing w:after="0" w:line="240" w:lineRule="auto"/>
              <w:rPr>
                <w:rFonts w:ascii="Arial" w:hAnsi="Arial" w:cs="Arial"/>
                <w:b/>
                <w:bCs/>
                <w:sz w:val="18"/>
                <w:szCs w:val="18"/>
              </w:rPr>
            </w:pPr>
            <w:r w:rsidRPr="00D54BDA">
              <w:rPr>
                <w:rFonts w:ascii="Arial" w:hAnsi="Arial" w:cs="Arial"/>
                <w:b/>
                <w:bCs/>
                <w:sz w:val="18"/>
                <w:szCs w:val="18"/>
              </w:rPr>
              <w:t>USE IN SPECIFIC POPULATIONS</w:t>
            </w:r>
          </w:p>
          <w:p w14:paraId="272C1072"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Lactation:</w:t>
            </w:r>
            <w:r w:rsidRPr="00D54BDA">
              <w:rPr>
                <w:rFonts w:ascii="Arial" w:hAnsi="Arial" w:cs="Arial"/>
                <w:sz w:val="18"/>
                <w:szCs w:val="18"/>
              </w:rPr>
              <w:t xml:space="preserve"> No data are available regarding the presence of </w:t>
            </w:r>
            <w:proofErr w:type="spellStart"/>
            <w:r w:rsidRPr="00D54BDA">
              <w:rPr>
                <w:rFonts w:ascii="Arial" w:hAnsi="Arial" w:cs="Arial"/>
                <w:sz w:val="18"/>
                <w:szCs w:val="18"/>
              </w:rPr>
              <w:t>olaparib</w:t>
            </w:r>
            <w:proofErr w:type="spellEnd"/>
            <w:r w:rsidRPr="00D54BDA">
              <w:rPr>
                <w:rFonts w:ascii="Arial" w:hAnsi="Arial" w:cs="Arial"/>
                <w:sz w:val="18"/>
                <w:szCs w:val="18"/>
              </w:rPr>
              <w:t xml:space="preserve"> in human milk, its effects on the breastfed infant or on milk production. Because of the potential for serious adverse reactions in the breastfed infant, advise a lactating woman not to breastfeed during treatment with LYNPARZA and for 1 month after receiving the final dose. </w:t>
            </w:r>
          </w:p>
          <w:p w14:paraId="607FBDE7" w14:textId="77777777" w:rsidR="00D54BDA" w:rsidRPr="00D54BDA" w:rsidRDefault="00D54BDA" w:rsidP="00D54BDA">
            <w:pPr>
              <w:spacing w:after="0" w:line="240" w:lineRule="auto"/>
              <w:rPr>
                <w:rFonts w:ascii="Arial" w:hAnsi="Arial" w:cs="Arial"/>
                <w:sz w:val="18"/>
                <w:szCs w:val="18"/>
              </w:rPr>
            </w:pPr>
          </w:p>
          <w:p w14:paraId="1FA5349E"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Pediatric Use:</w:t>
            </w:r>
            <w:r w:rsidRPr="00D54BDA">
              <w:rPr>
                <w:rFonts w:ascii="Arial" w:hAnsi="Arial" w:cs="Arial"/>
                <w:sz w:val="18"/>
                <w:szCs w:val="18"/>
              </w:rPr>
              <w:t xml:space="preserve"> The safety and efficacy of LYNPARZA have not been established in pediatric patients.</w:t>
            </w:r>
          </w:p>
          <w:p w14:paraId="1FE041E1" w14:textId="77777777" w:rsidR="00D54BDA" w:rsidRPr="00D54BDA" w:rsidRDefault="00D54BDA" w:rsidP="00D54BDA">
            <w:pPr>
              <w:spacing w:after="0" w:line="240" w:lineRule="auto"/>
              <w:rPr>
                <w:rFonts w:ascii="Arial" w:hAnsi="Arial" w:cs="Arial"/>
                <w:sz w:val="18"/>
                <w:szCs w:val="18"/>
              </w:rPr>
            </w:pPr>
          </w:p>
          <w:p w14:paraId="794C1C37"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Hepatic Impairment:</w:t>
            </w:r>
            <w:r w:rsidRPr="00D54BDA">
              <w:rPr>
                <w:rFonts w:ascii="Arial" w:hAnsi="Arial" w:cs="Arial"/>
                <w:sz w:val="18"/>
                <w:szCs w:val="18"/>
              </w:rPr>
              <w:t xml:space="preserve"> No adjustment to the starting dose is required in patients with mild or moderate hepatic impairment (Child-Pugh classification A and B). There are no data in patients with severe hepatic impairment (Child-Pugh classification C).</w:t>
            </w:r>
          </w:p>
          <w:p w14:paraId="77E3751F" w14:textId="77777777" w:rsidR="00D54BDA" w:rsidRPr="00D54BDA" w:rsidRDefault="00D54BDA" w:rsidP="00D54BDA">
            <w:pPr>
              <w:spacing w:after="0" w:line="240" w:lineRule="auto"/>
              <w:rPr>
                <w:rFonts w:ascii="Arial" w:hAnsi="Arial" w:cs="Arial"/>
                <w:sz w:val="18"/>
                <w:szCs w:val="18"/>
              </w:rPr>
            </w:pPr>
          </w:p>
          <w:p w14:paraId="6C110BF0"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b/>
                <w:bCs/>
                <w:sz w:val="18"/>
                <w:szCs w:val="18"/>
              </w:rPr>
              <w:t>Renal Impairment:</w:t>
            </w:r>
            <w:r w:rsidRPr="00D54BDA">
              <w:rPr>
                <w:rFonts w:ascii="Arial" w:hAnsi="Arial" w:cs="Arial"/>
                <w:sz w:val="18"/>
                <w:szCs w:val="18"/>
              </w:rPr>
              <w:t xml:space="preserve"> No dosage modification is recommended in patients with mild renal impairment (</w:t>
            </w:r>
            <w:proofErr w:type="spellStart"/>
            <w:r w:rsidRPr="00D54BDA">
              <w:rPr>
                <w:rFonts w:ascii="Arial" w:hAnsi="Arial" w:cs="Arial"/>
                <w:sz w:val="18"/>
                <w:szCs w:val="18"/>
              </w:rPr>
              <w:t>CLcr</w:t>
            </w:r>
            <w:proofErr w:type="spellEnd"/>
            <w:r w:rsidRPr="00D54BDA">
              <w:rPr>
                <w:rFonts w:ascii="Arial" w:hAnsi="Arial" w:cs="Arial"/>
                <w:sz w:val="18"/>
                <w:szCs w:val="18"/>
              </w:rPr>
              <w:t xml:space="preserve"> 51-80 mL/min estimated by Cockcroft-Gault). In patients with moderate renal impairment (</w:t>
            </w:r>
            <w:proofErr w:type="spellStart"/>
            <w:r w:rsidRPr="00D54BDA">
              <w:rPr>
                <w:rFonts w:ascii="Arial" w:hAnsi="Arial" w:cs="Arial"/>
                <w:sz w:val="18"/>
                <w:szCs w:val="18"/>
              </w:rPr>
              <w:t>CLcr</w:t>
            </w:r>
            <w:proofErr w:type="spellEnd"/>
            <w:r w:rsidRPr="00D54BDA">
              <w:rPr>
                <w:rFonts w:ascii="Arial" w:hAnsi="Arial" w:cs="Arial"/>
                <w:sz w:val="18"/>
                <w:szCs w:val="18"/>
              </w:rPr>
              <w:t xml:space="preserve"> 31-50 mL/min), reduce the dose of LYNPARZA to 200 mg twice daily. There are no data in patients with severe renal impairment or end-stage renal disease (</w:t>
            </w:r>
            <w:proofErr w:type="spellStart"/>
            <w:r w:rsidRPr="00D54BDA">
              <w:rPr>
                <w:rFonts w:ascii="Arial" w:hAnsi="Arial" w:cs="Arial"/>
                <w:sz w:val="18"/>
                <w:szCs w:val="18"/>
              </w:rPr>
              <w:t>CLcr</w:t>
            </w:r>
            <w:proofErr w:type="spellEnd"/>
            <w:r w:rsidRPr="00D54BDA">
              <w:rPr>
                <w:rFonts w:ascii="Arial" w:hAnsi="Arial" w:cs="Arial"/>
                <w:sz w:val="18"/>
                <w:szCs w:val="18"/>
              </w:rPr>
              <w:t xml:space="preserve"> ≤30 mL/min).</w:t>
            </w:r>
          </w:p>
          <w:p w14:paraId="6503E2C2" w14:textId="77777777" w:rsidR="00D54BDA" w:rsidRPr="00D54BDA" w:rsidRDefault="00D54BDA" w:rsidP="00D54BDA">
            <w:pPr>
              <w:spacing w:after="0" w:line="240" w:lineRule="auto"/>
              <w:rPr>
                <w:rFonts w:ascii="Arial" w:hAnsi="Arial" w:cs="Arial"/>
                <w:b/>
                <w:bCs/>
                <w:sz w:val="18"/>
                <w:szCs w:val="18"/>
              </w:rPr>
            </w:pPr>
          </w:p>
          <w:p w14:paraId="611F0DF5" w14:textId="77777777" w:rsidR="00D54BDA" w:rsidRPr="00D54BDA" w:rsidRDefault="00D54BDA" w:rsidP="00D54BDA">
            <w:pPr>
              <w:spacing w:after="0" w:line="240" w:lineRule="auto"/>
              <w:rPr>
                <w:rFonts w:ascii="Arial" w:hAnsi="Arial" w:cs="Arial"/>
                <w:b/>
                <w:bCs/>
                <w:sz w:val="18"/>
                <w:szCs w:val="18"/>
              </w:rPr>
            </w:pPr>
            <w:r w:rsidRPr="00D54BDA">
              <w:rPr>
                <w:rFonts w:ascii="Arial" w:hAnsi="Arial" w:cs="Arial"/>
                <w:b/>
                <w:bCs/>
                <w:sz w:val="18"/>
                <w:szCs w:val="18"/>
              </w:rPr>
              <w:t>INDICATIONS</w:t>
            </w:r>
          </w:p>
          <w:p w14:paraId="7F6755E7"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 xml:space="preserve">LYNPARZA is a poly (ADP-ribose) polymerase (PARP) inhibitor indicated: </w:t>
            </w:r>
          </w:p>
          <w:p w14:paraId="3A578052" w14:textId="77777777" w:rsidR="00D54BDA" w:rsidRPr="00D54BDA" w:rsidRDefault="00D54BDA" w:rsidP="00D54BDA">
            <w:pPr>
              <w:spacing w:after="0" w:line="240" w:lineRule="auto"/>
              <w:rPr>
                <w:rFonts w:ascii="Arial" w:hAnsi="Arial" w:cs="Arial"/>
                <w:sz w:val="18"/>
                <w:szCs w:val="18"/>
              </w:rPr>
            </w:pPr>
          </w:p>
          <w:p w14:paraId="49E297F0"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b/>
                <w:bCs/>
                <w:color w:val="000000"/>
                <w:sz w:val="18"/>
                <w:szCs w:val="18"/>
              </w:rPr>
              <w:t xml:space="preserve">First-Line Maintenance </w:t>
            </w:r>
            <w:proofErr w:type="spellStart"/>
            <w:r w:rsidRPr="00D54BDA">
              <w:rPr>
                <w:rFonts w:ascii="Arial" w:eastAsia="Calibri" w:hAnsi="Arial" w:cs="Arial"/>
                <w:b/>
                <w:bCs/>
                <w:i/>
                <w:iCs/>
                <w:color w:val="000000"/>
                <w:sz w:val="18"/>
                <w:szCs w:val="18"/>
              </w:rPr>
              <w:t>BRCA</w:t>
            </w:r>
            <w:r w:rsidRPr="00D54BDA">
              <w:rPr>
                <w:rFonts w:ascii="Arial" w:eastAsia="Calibri" w:hAnsi="Arial" w:cs="Arial"/>
                <w:b/>
                <w:bCs/>
                <w:color w:val="000000"/>
                <w:sz w:val="18"/>
                <w:szCs w:val="18"/>
              </w:rPr>
              <w:t>m</w:t>
            </w:r>
            <w:proofErr w:type="spellEnd"/>
            <w:r w:rsidRPr="00D54BDA">
              <w:rPr>
                <w:rFonts w:ascii="Arial" w:eastAsia="Calibri" w:hAnsi="Arial" w:cs="Arial"/>
                <w:b/>
                <w:bCs/>
                <w:color w:val="000000"/>
                <w:sz w:val="18"/>
                <w:szCs w:val="18"/>
              </w:rPr>
              <w:t xml:space="preserve"> Advanced Ovarian Cancer</w:t>
            </w:r>
            <w:r w:rsidRPr="00D54BDA">
              <w:rPr>
                <w:rFonts w:ascii="Arial" w:eastAsia="Calibri" w:hAnsi="Arial" w:cs="Arial"/>
                <w:color w:val="000000"/>
                <w:sz w:val="18"/>
                <w:szCs w:val="18"/>
              </w:rPr>
              <w:br/>
              <w:t xml:space="preserve">For the maintenance treatment of adult patients with deleterious or suspected deleterious germline or somatic </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-mutated (</w:t>
            </w:r>
            <w:proofErr w:type="spellStart"/>
            <w:r w:rsidRPr="00D54BDA">
              <w:rPr>
                <w:rFonts w:ascii="Arial" w:eastAsia="Calibri" w:hAnsi="Arial" w:cs="Arial"/>
                <w:color w:val="000000"/>
                <w:sz w:val="18"/>
                <w:szCs w:val="18"/>
              </w:rPr>
              <w:t>g</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w:t>
            </w:r>
            <w:proofErr w:type="spellEnd"/>
            <w:r w:rsidRPr="00D54BDA">
              <w:rPr>
                <w:rFonts w:ascii="Arial" w:eastAsia="Calibri" w:hAnsi="Arial" w:cs="Arial"/>
                <w:color w:val="000000"/>
                <w:sz w:val="18"/>
                <w:szCs w:val="18"/>
              </w:rPr>
              <w:t xml:space="preserve"> or </w:t>
            </w:r>
            <w:proofErr w:type="spellStart"/>
            <w:r w:rsidRPr="00D54BDA">
              <w:rPr>
                <w:rFonts w:ascii="Arial" w:eastAsia="Calibri" w:hAnsi="Arial" w:cs="Arial"/>
                <w:color w:val="000000"/>
                <w:sz w:val="18"/>
                <w:szCs w:val="18"/>
              </w:rPr>
              <w:t>s</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w:t>
            </w:r>
            <w:proofErr w:type="spellEnd"/>
            <w:r w:rsidRPr="00D54BDA">
              <w:rPr>
                <w:rFonts w:ascii="Arial" w:eastAsia="Calibri" w:hAnsi="Arial" w:cs="Arial"/>
                <w:color w:val="000000"/>
                <w:sz w:val="18"/>
                <w:szCs w:val="18"/>
              </w:rPr>
              <w:t>) advanced epithelial ovarian, fallopian tube, or primary peritoneal cancer who are in complete or partial response to first-line platinum-based chemotherapy. Select patients for therapy based on an FDA-approved companion diagnostic for LYNPARZA.</w:t>
            </w:r>
          </w:p>
          <w:p w14:paraId="14EBBD57" w14:textId="77777777" w:rsidR="00D54BDA" w:rsidRPr="00D54BDA" w:rsidRDefault="00D54BDA" w:rsidP="00D54BDA">
            <w:pPr>
              <w:spacing w:after="0" w:line="240" w:lineRule="auto"/>
              <w:rPr>
                <w:rFonts w:ascii="Arial" w:eastAsia="Calibri" w:hAnsi="Arial" w:cs="Arial"/>
                <w:b/>
                <w:bCs/>
                <w:color w:val="000000"/>
                <w:sz w:val="18"/>
                <w:szCs w:val="18"/>
              </w:rPr>
            </w:pPr>
          </w:p>
          <w:p w14:paraId="32CB5C57"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b/>
                <w:bCs/>
                <w:color w:val="000000"/>
                <w:sz w:val="18"/>
                <w:szCs w:val="18"/>
              </w:rPr>
              <w:lastRenderedPageBreak/>
              <w:t>First-Line Maintenance HRD-</w:t>
            </w:r>
            <w:proofErr w:type="gramStart"/>
            <w:r w:rsidRPr="00D54BDA">
              <w:rPr>
                <w:rFonts w:ascii="Arial" w:eastAsia="Calibri" w:hAnsi="Arial" w:cs="Arial"/>
                <w:b/>
                <w:bCs/>
                <w:color w:val="000000"/>
                <w:sz w:val="18"/>
                <w:szCs w:val="18"/>
              </w:rPr>
              <w:t xml:space="preserve">Positive </w:t>
            </w:r>
            <w:r w:rsidRPr="00D54BDA">
              <w:rPr>
                <w:rFonts w:ascii="Arial" w:eastAsia="Calibri" w:hAnsi="Arial" w:cs="Arial"/>
                <w:color w:val="000000"/>
                <w:sz w:val="18"/>
                <w:szCs w:val="18"/>
              </w:rPr>
              <w:t> </w:t>
            </w:r>
            <w:r w:rsidRPr="00D54BDA">
              <w:rPr>
                <w:rFonts w:ascii="Arial" w:eastAsia="Calibri" w:hAnsi="Arial" w:cs="Arial"/>
                <w:b/>
                <w:bCs/>
                <w:color w:val="000000"/>
                <w:sz w:val="18"/>
                <w:szCs w:val="18"/>
              </w:rPr>
              <w:t>Advanced</w:t>
            </w:r>
            <w:proofErr w:type="gramEnd"/>
            <w:r w:rsidRPr="00D54BDA">
              <w:rPr>
                <w:rFonts w:ascii="Arial" w:eastAsia="Calibri" w:hAnsi="Arial" w:cs="Arial"/>
                <w:b/>
                <w:bCs/>
                <w:color w:val="000000"/>
                <w:sz w:val="18"/>
                <w:szCs w:val="18"/>
              </w:rPr>
              <w:t xml:space="preserve"> Ovarian Cancer in Combination with Bevacizumab </w:t>
            </w:r>
          </w:p>
          <w:p w14:paraId="3EA2561D"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color w:val="000000"/>
                <w:sz w:val="18"/>
                <w:szCs w:val="18"/>
              </w:rPr>
              <w:t xml:space="preserve">In combination with bevacizumab for the maintenance treatment of adult patients with advanced epithelial ovarian, fallopian tube or primary peritoneal cancer who are in complete or partial response to first-line platinum-based chemotherapy and whose cancer is associated with homologous recombination deficiency (HRD)-positive status defined by either a deleterious or suspected deleterious </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 xml:space="preserve"> mutation, and/or genomic instability. Select patients for therapy based on an FDA-approved companion diagnostic for LYNPARZA.</w:t>
            </w:r>
          </w:p>
          <w:p w14:paraId="74CE6E93" w14:textId="77777777" w:rsidR="00D54BDA" w:rsidRPr="00D54BDA" w:rsidRDefault="00D54BDA" w:rsidP="00D54BDA">
            <w:pPr>
              <w:spacing w:after="0" w:line="240" w:lineRule="auto"/>
              <w:rPr>
                <w:rFonts w:ascii="Arial" w:eastAsia="Calibri" w:hAnsi="Arial" w:cs="Arial"/>
                <w:b/>
                <w:bCs/>
                <w:color w:val="000000"/>
                <w:sz w:val="18"/>
                <w:szCs w:val="18"/>
              </w:rPr>
            </w:pPr>
          </w:p>
          <w:p w14:paraId="2E74E7A7"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b/>
                <w:bCs/>
                <w:color w:val="000000"/>
                <w:sz w:val="18"/>
                <w:szCs w:val="18"/>
              </w:rPr>
              <w:t xml:space="preserve">Maintenance </w:t>
            </w:r>
            <w:r w:rsidRPr="00D54BDA">
              <w:rPr>
                <w:rFonts w:ascii="Arial" w:eastAsia="Calibri" w:hAnsi="Arial" w:cs="Arial"/>
                <w:b/>
                <w:bCs/>
                <w:i/>
                <w:iCs/>
                <w:color w:val="000000"/>
                <w:sz w:val="18"/>
                <w:szCs w:val="18"/>
              </w:rPr>
              <w:t>BRCA</w:t>
            </w:r>
            <w:r w:rsidRPr="00D54BDA">
              <w:rPr>
                <w:rFonts w:ascii="Arial" w:eastAsia="Calibri" w:hAnsi="Arial" w:cs="Arial"/>
                <w:b/>
                <w:bCs/>
                <w:color w:val="000000"/>
                <w:sz w:val="18"/>
                <w:szCs w:val="18"/>
              </w:rPr>
              <w:t>-mutated Recurrent Ovarian Cancer</w:t>
            </w:r>
            <w:r w:rsidRPr="00D54BDA">
              <w:rPr>
                <w:rFonts w:ascii="Arial" w:eastAsia="Calibri" w:hAnsi="Arial" w:cs="Arial"/>
                <w:color w:val="000000"/>
                <w:sz w:val="18"/>
                <w:szCs w:val="18"/>
              </w:rPr>
              <w:br/>
              <w:t xml:space="preserve">For the maintenance treatment of adult patients with deleterious or suspected deleterious germline or somatic </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-mutated (</w:t>
            </w:r>
            <w:proofErr w:type="spellStart"/>
            <w:r w:rsidRPr="00D54BDA">
              <w:rPr>
                <w:rFonts w:ascii="Arial" w:eastAsia="Calibri" w:hAnsi="Arial" w:cs="Arial"/>
                <w:color w:val="000000"/>
                <w:sz w:val="18"/>
                <w:szCs w:val="18"/>
              </w:rPr>
              <w:t>g</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w:t>
            </w:r>
            <w:proofErr w:type="spellEnd"/>
            <w:r w:rsidRPr="00D54BDA">
              <w:rPr>
                <w:rFonts w:ascii="Arial" w:eastAsia="Calibri" w:hAnsi="Arial" w:cs="Arial"/>
                <w:color w:val="000000"/>
                <w:sz w:val="18"/>
                <w:szCs w:val="18"/>
              </w:rPr>
              <w:t xml:space="preserve"> or </w:t>
            </w:r>
            <w:proofErr w:type="spellStart"/>
            <w:r w:rsidRPr="00D54BDA">
              <w:rPr>
                <w:rFonts w:ascii="Arial" w:eastAsia="Calibri" w:hAnsi="Arial" w:cs="Arial"/>
                <w:color w:val="000000"/>
                <w:sz w:val="18"/>
                <w:szCs w:val="18"/>
              </w:rPr>
              <w:t>s</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w:t>
            </w:r>
            <w:proofErr w:type="spellEnd"/>
            <w:r w:rsidRPr="00D54BDA">
              <w:rPr>
                <w:rFonts w:ascii="Arial" w:eastAsia="Calibri" w:hAnsi="Arial" w:cs="Arial"/>
                <w:color w:val="000000"/>
                <w:sz w:val="18"/>
                <w:szCs w:val="18"/>
              </w:rPr>
              <w:t>) recurrent epithelial ovarian, fallopian tube, or primary peritoneal cancer, who are in complete or partial response to platinum-based chemotherapy. Select patients for therapy based on an FDA-approved companion diagnostic for LYNPARZA.</w:t>
            </w:r>
          </w:p>
          <w:p w14:paraId="55E7BB06" w14:textId="77777777" w:rsidR="00D54BDA" w:rsidRPr="00D54BDA" w:rsidRDefault="00D54BDA" w:rsidP="00D54BDA">
            <w:pPr>
              <w:spacing w:after="0" w:line="240" w:lineRule="auto"/>
              <w:rPr>
                <w:rFonts w:ascii="Arial" w:hAnsi="Arial" w:cs="Arial"/>
                <w:b/>
                <w:bCs/>
                <w:sz w:val="18"/>
                <w:szCs w:val="18"/>
              </w:rPr>
            </w:pPr>
          </w:p>
          <w:p w14:paraId="35FEA85A" w14:textId="77777777" w:rsidR="00D54BDA" w:rsidRPr="00D54BDA" w:rsidRDefault="00D54BDA" w:rsidP="00D54BDA">
            <w:pPr>
              <w:spacing w:after="0" w:line="240" w:lineRule="auto"/>
              <w:rPr>
                <w:rFonts w:ascii="Arial" w:hAnsi="Arial" w:cs="Arial"/>
                <w:b/>
                <w:bCs/>
                <w:sz w:val="18"/>
                <w:szCs w:val="18"/>
              </w:rPr>
            </w:pPr>
            <w:r w:rsidRPr="00D54BDA">
              <w:rPr>
                <w:rFonts w:ascii="Arial" w:hAnsi="Arial" w:cs="Arial"/>
                <w:b/>
                <w:bCs/>
                <w:sz w:val="18"/>
                <w:szCs w:val="18"/>
              </w:rPr>
              <w:t xml:space="preserve">Adjuvant Treatment for </w:t>
            </w:r>
            <w:proofErr w:type="spellStart"/>
            <w:r w:rsidRPr="00D54BDA">
              <w:rPr>
                <w:rFonts w:ascii="Arial" w:hAnsi="Arial" w:cs="Arial"/>
                <w:b/>
                <w:bCs/>
                <w:sz w:val="18"/>
                <w:szCs w:val="18"/>
              </w:rPr>
              <w:t>g</w:t>
            </w:r>
            <w:r w:rsidRPr="00D54BDA">
              <w:rPr>
                <w:rFonts w:ascii="Arial" w:hAnsi="Arial" w:cs="Arial"/>
                <w:b/>
                <w:bCs/>
                <w:i/>
                <w:iCs/>
                <w:sz w:val="18"/>
                <w:szCs w:val="18"/>
              </w:rPr>
              <w:t>BRCA</w:t>
            </w:r>
            <w:r w:rsidRPr="00D54BDA">
              <w:rPr>
                <w:rFonts w:ascii="Arial" w:hAnsi="Arial" w:cs="Arial"/>
                <w:b/>
                <w:bCs/>
                <w:sz w:val="18"/>
                <w:szCs w:val="18"/>
              </w:rPr>
              <w:t>m</w:t>
            </w:r>
            <w:proofErr w:type="spellEnd"/>
            <w:r w:rsidRPr="00D54BDA">
              <w:rPr>
                <w:rFonts w:ascii="Arial" w:hAnsi="Arial" w:cs="Arial"/>
                <w:b/>
                <w:bCs/>
                <w:sz w:val="18"/>
                <w:szCs w:val="18"/>
              </w:rPr>
              <w:t xml:space="preserve">, HER2-Negative, High-Risk Early Breast Cancer </w:t>
            </w:r>
          </w:p>
          <w:p w14:paraId="058D5001"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 xml:space="preserve">For the adjuvant treatment of adult patients with deleterious or suspected deleterious </w:t>
            </w:r>
            <w:proofErr w:type="spellStart"/>
            <w:r w:rsidRPr="00D54BDA">
              <w:rPr>
                <w:rFonts w:ascii="Arial" w:hAnsi="Arial" w:cs="Arial"/>
                <w:sz w:val="18"/>
                <w:szCs w:val="18"/>
              </w:rPr>
              <w:t>g</w:t>
            </w:r>
            <w:r w:rsidRPr="00D54BDA">
              <w:rPr>
                <w:rFonts w:ascii="Arial" w:hAnsi="Arial" w:cs="Arial"/>
                <w:i/>
                <w:iCs/>
                <w:sz w:val="18"/>
                <w:szCs w:val="18"/>
              </w:rPr>
              <w:t>BRCA</w:t>
            </w:r>
            <w:r w:rsidRPr="00D54BDA">
              <w:rPr>
                <w:rFonts w:ascii="Arial" w:hAnsi="Arial" w:cs="Arial"/>
                <w:sz w:val="18"/>
                <w:szCs w:val="18"/>
              </w:rPr>
              <w:t>m</w:t>
            </w:r>
            <w:proofErr w:type="spellEnd"/>
            <w:r w:rsidRPr="00D54BDA">
              <w:rPr>
                <w:rFonts w:ascii="Arial" w:hAnsi="Arial" w:cs="Arial"/>
                <w:sz w:val="18"/>
                <w:szCs w:val="18"/>
              </w:rPr>
              <w:t>, human epidermal growth factor receptor 2 (HER2)-negative, high-risk early breast cancer who have been treated with neoadjuvant or adjuvant chemotherapy. Select patients for therapy based on an FDA-approved companion diagnostic for LYNPARZA.</w:t>
            </w:r>
          </w:p>
          <w:p w14:paraId="1942D889" w14:textId="77777777" w:rsidR="00D54BDA" w:rsidRPr="00D54BDA" w:rsidRDefault="00D54BDA" w:rsidP="00D54BDA">
            <w:pPr>
              <w:spacing w:after="0" w:line="240" w:lineRule="auto"/>
              <w:rPr>
                <w:rFonts w:ascii="Arial" w:hAnsi="Arial" w:cs="Arial"/>
                <w:b/>
                <w:bCs/>
                <w:sz w:val="18"/>
                <w:szCs w:val="18"/>
              </w:rPr>
            </w:pPr>
          </w:p>
          <w:p w14:paraId="3479ACA7" w14:textId="77777777" w:rsidR="00D54BDA" w:rsidRPr="00D54BDA" w:rsidRDefault="00D54BDA" w:rsidP="00D54BDA">
            <w:pPr>
              <w:spacing w:after="0" w:line="240" w:lineRule="auto"/>
              <w:rPr>
                <w:rFonts w:ascii="Arial" w:hAnsi="Arial" w:cs="Arial"/>
                <w:b/>
                <w:bCs/>
                <w:sz w:val="18"/>
                <w:szCs w:val="18"/>
              </w:rPr>
            </w:pPr>
            <w:proofErr w:type="spellStart"/>
            <w:r w:rsidRPr="00D54BDA">
              <w:rPr>
                <w:rFonts w:ascii="Arial" w:hAnsi="Arial" w:cs="Arial"/>
                <w:b/>
                <w:bCs/>
                <w:sz w:val="18"/>
                <w:szCs w:val="18"/>
              </w:rPr>
              <w:t>g</w:t>
            </w:r>
            <w:r w:rsidRPr="00D54BDA">
              <w:rPr>
                <w:rFonts w:ascii="Arial" w:hAnsi="Arial" w:cs="Arial"/>
                <w:b/>
                <w:bCs/>
                <w:i/>
                <w:iCs/>
                <w:sz w:val="18"/>
                <w:szCs w:val="18"/>
              </w:rPr>
              <w:t>BRCA</w:t>
            </w:r>
            <w:r w:rsidRPr="00D54BDA">
              <w:rPr>
                <w:rFonts w:ascii="Arial" w:hAnsi="Arial" w:cs="Arial"/>
                <w:b/>
                <w:bCs/>
                <w:sz w:val="18"/>
                <w:szCs w:val="18"/>
              </w:rPr>
              <w:t>m</w:t>
            </w:r>
            <w:proofErr w:type="spellEnd"/>
            <w:r w:rsidRPr="00D54BDA">
              <w:rPr>
                <w:rFonts w:ascii="Arial" w:hAnsi="Arial" w:cs="Arial"/>
                <w:b/>
                <w:bCs/>
                <w:sz w:val="18"/>
                <w:szCs w:val="18"/>
              </w:rPr>
              <w:t xml:space="preserve">, HER2-Negative Metastatic Breast Cancer </w:t>
            </w:r>
          </w:p>
          <w:p w14:paraId="3AE154F1"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 xml:space="preserve">For the treatment of adult patients with deleterious or suspected deleterious </w:t>
            </w:r>
            <w:proofErr w:type="spellStart"/>
            <w:r w:rsidRPr="00D54BDA">
              <w:rPr>
                <w:rFonts w:ascii="Arial" w:hAnsi="Arial" w:cs="Arial"/>
                <w:sz w:val="18"/>
                <w:szCs w:val="18"/>
              </w:rPr>
              <w:t>g</w:t>
            </w:r>
            <w:r w:rsidRPr="00D54BDA">
              <w:rPr>
                <w:rFonts w:ascii="Arial" w:hAnsi="Arial" w:cs="Arial"/>
                <w:i/>
                <w:iCs/>
                <w:sz w:val="18"/>
                <w:szCs w:val="18"/>
              </w:rPr>
              <w:t>BRCA</w:t>
            </w:r>
            <w:r w:rsidRPr="00D54BDA">
              <w:rPr>
                <w:rFonts w:ascii="Arial" w:hAnsi="Arial" w:cs="Arial"/>
                <w:sz w:val="18"/>
                <w:szCs w:val="18"/>
              </w:rPr>
              <w:t>m</w:t>
            </w:r>
            <w:proofErr w:type="spellEnd"/>
            <w:r w:rsidRPr="00D54BDA">
              <w:rPr>
                <w:rFonts w:ascii="Arial" w:hAnsi="Arial" w:cs="Arial"/>
                <w:sz w:val="18"/>
                <w:szCs w:val="18"/>
              </w:rPr>
              <w:t>, human epidermal growth factor receptor 2 (HER2)-negative metastatic breast cancer who have been treated with chemotherapy in the neoadjuvant, adjuvant, or metastatic setting. Patients with hormone receptor (HR)-positive breast cancer should have been treated with a prior endocrine therapy or be considered inappropriate for endocrine therapy. Select patients for therapy based on an FDA-approved companion diagnostic for LYNPARZA.</w:t>
            </w:r>
          </w:p>
          <w:p w14:paraId="718465F5" w14:textId="77777777" w:rsidR="00D54BDA" w:rsidRPr="00D54BDA" w:rsidRDefault="00D54BDA" w:rsidP="00D54BDA">
            <w:pPr>
              <w:spacing w:after="0" w:line="240" w:lineRule="auto"/>
              <w:rPr>
                <w:rFonts w:ascii="Arial" w:hAnsi="Arial" w:cs="Arial"/>
                <w:sz w:val="18"/>
                <w:szCs w:val="18"/>
              </w:rPr>
            </w:pPr>
          </w:p>
          <w:p w14:paraId="7F4861FC" w14:textId="77777777" w:rsidR="00D54BDA" w:rsidRPr="00D54BDA" w:rsidRDefault="00D54BDA" w:rsidP="00D54BDA">
            <w:pPr>
              <w:spacing w:after="0" w:line="240" w:lineRule="auto"/>
              <w:rPr>
                <w:rFonts w:ascii="Arial" w:eastAsia="Calibri" w:hAnsi="Arial" w:cs="Arial"/>
                <w:color w:val="000000"/>
                <w:sz w:val="18"/>
                <w:szCs w:val="18"/>
              </w:rPr>
            </w:pPr>
            <w:r w:rsidRPr="00D54BDA">
              <w:rPr>
                <w:rFonts w:ascii="Arial" w:eastAsia="Calibri" w:hAnsi="Arial" w:cs="Arial"/>
                <w:b/>
                <w:bCs/>
                <w:color w:val="000000"/>
                <w:sz w:val="18"/>
                <w:szCs w:val="18"/>
              </w:rPr>
              <w:t>HRR Gene-mutated Metastatic Castration-Resistant Prostate Cancer</w:t>
            </w:r>
            <w:r w:rsidRPr="00D54BDA">
              <w:rPr>
                <w:rFonts w:ascii="Arial" w:eastAsia="Calibri" w:hAnsi="Arial" w:cs="Arial"/>
                <w:color w:val="000000"/>
                <w:sz w:val="18"/>
                <w:szCs w:val="18"/>
              </w:rPr>
              <w:br/>
              <w:t>For the treatment of adult patients with deleterious or suspected deleterious germline or somatic homologous recombination repair (HRR) gene-mutated metastatic castration-resistant prostate cancer (</w:t>
            </w:r>
            <w:proofErr w:type="spellStart"/>
            <w:r w:rsidRPr="00D54BDA">
              <w:rPr>
                <w:rFonts w:ascii="Arial" w:eastAsia="Calibri" w:hAnsi="Arial" w:cs="Arial"/>
                <w:color w:val="000000"/>
                <w:sz w:val="18"/>
                <w:szCs w:val="18"/>
              </w:rPr>
              <w:t>mCRPC</w:t>
            </w:r>
            <w:proofErr w:type="spellEnd"/>
            <w:r w:rsidRPr="00D54BDA">
              <w:rPr>
                <w:rFonts w:ascii="Arial" w:eastAsia="Calibri" w:hAnsi="Arial" w:cs="Arial"/>
                <w:color w:val="000000"/>
                <w:sz w:val="18"/>
                <w:szCs w:val="18"/>
              </w:rPr>
              <w:t>) who have progressed following prior treatment with enzalutamide or abiraterone. Select patients for therapy based on an FDA-approved companion diagnostic for LYNPARZA.</w:t>
            </w:r>
          </w:p>
          <w:p w14:paraId="16E3F5AA" w14:textId="77777777" w:rsidR="00D54BDA" w:rsidRPr="00D54BDA" w:rsidRDefault="00D54BDA" w:rsidP="00D54BDA">
            <w:pPr>
              <w:spacing w:after="0" w:line="240" w:lineRule="auto"/>
              <w:rPr>
                <w:rFonts w:ascii="Arial" w:eastAsia="Calibri" w:hAnsi="Arial" w:cs="Arial"/>
                <w:b/>
                <w:bCs/>
                <w:i/>
                <w:iCs/>
                <w:color w:val="000000"/>
                <w:sz w:val="18"/>
                <w:szCs w:val="18"/>
              </w:rPr>
            </w:pPr>
          </w:p>
          <w:p w14:paraId="42542AA3" w14:textId="77777777" w:rsidR="00D54BDA" w:rsidRPr="00D54BDA" w:rsidRDefault="00D54BDA" w:rsidP="00D54BDA">
            <w:pPr>
              <w:spacing w:after="0" w:line="240" w:lineRule="auto"/>
              <w:rPr>
                <w:rFonts w:ascii="Arial" w:eastAsia="Calibri" w:hAnsi="Arial" w:cs="Arial"/>
                <w:color w:val="000000"/>
                <w:sz w:val="18"/>
                <w:szCs w:val="18"/>
              </w:rPr>
            </w:pPr>
            <w:proofErr w:type="spellStart"/>
            <w:r w:rsidRPr="00D54BDA">
              <w:rPr>
                <w:rFonts w:ascii="Arial" w:eastAsia="Calibri" w:hAnsi="Arial" w:cs="Arial"/>
                <w:b/>
                <w:bCs/>
                <w:i/>
                <w:iCs/>
                <w:color w:val="000000"/>
                <w:sz w:val="18"/>
                <w:szCs w:val="18"/>
              </w:rPr>
              <w:t>BRCA</w:t>
            </w:r>
            <w:r w:rsidRPr="00D54BDA">
              <w:rPr>
                <w:rFonts w:ascii="Arial" w:eastAsia="Calibri" w:hAnsi="Arial" w:cs="Arial"/>
                <w:b/>
                <w:bCs/>
                <w:color w:val="000000"/>
                <w:sz w:val="18"/>
                <w:szCs w:val="18"/>
              </w:rPr>
              <w:t>m</w:t>
            </w:r>
            <w:proofErr w:type="spellEnd"/>
            <w:r w:rsidRPr="00D54BDA">
              <w:rPr>
                <w:rFonts w:ascii="Arial" w:eastAsia="Calibri" w:hAnsi="Arial" w:cs="Arial"/>
                <w:b/>
                <w:bCs/>
                <w:color w:val="000000"/>
                <w:sz w:val="18"/>
                <w:szCs w:val="18"/>
              </w:rPr>
              <w:t xml:space="preserve"> Metastatic Castration-Resistant Prostate Cancer in Combination with Abiraterone and Prednisone or Prednisolone</w:t>
            </w:r>
            <w:r w:rsidRPr="00D54BDA">
              <w:rPr>
                <w:rFonts w:ascii="Arial" w:eastAsia="Calibri" w:hAnsi="Arial" w:cs="Arial"/>
                <w:color w:val="000000"/>
                <w:sz w:val="18"/>
                <w:szCs w:val="18"/>
              </w:rPr>
              <w:br/>
              <w:t>In combination with abiraterone and prednisone or prednisolone (</w:t>
            </w:r>
            <w:proofErr w:type="spellStart"/>
            <w:r w:rsidRPr="00D54BDA">
              <w:rPr>
                <w:rFonts w:ascii="Arial" w:eastAsia="Calibri" w:hAnsi="Arial" w:cs="Arial"/>
                <w:color w:val="000000"/>
                <w:sz w:val="18"/>
                <w:szCs w:val="18"/>
              </w:rPr>
              <w:t>abi</w:t>
            </w:r>
            <w:proofErr w:type="spellEnd"/>
            <w:r w:rsidRPr="00D54BDA">
              <w:rPr>
                <w:rFonts w:ascii="Arial" w:eastAsia="Calibri" w:hAnsi="Arial" w:cs="Arial"/>
                <w:color w:val="000000"/>
                <w:sz w:val="18"/>
                <w:szCs w:val="18"/>
              </w:rPr>
              <w:t xml:space="preserve">/pred) for the treatment of adult patients with deleterious or suspected deleterious </w:t>
            </w:r>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-mutated (</w:t>
            </w:r>
            <w:proofErr w:type="spellStart"/>
            <w:r w:rsidRPr="00D54BDA">
              <w:rPr>
                <w:rFonts w:ascii="Arial" w:eastAsia="Calibri" w:hAnsi="Arial" w:cs="Arial"/>
                <w:i/>
                <w:iCs/>
                <w:color w:val="000000"/>
                <w:sz w:val="18"/>
                <w:szCs w:val="18"/>
              </w:rPr>
              <w:t>BRCA</w:t>
            </w:r>
            <w:r w:rsidRPr="00D54BDA">
              <w:rPr>
                <w:rFonts w:ascii="Arial" w:eastAsia="Calibri" w:hAnsi="Arial" w:cs="Arial"/>
                <w:color w:val="000000"/>
                <w:sz w:val="18"/>
                <w:szCs w:val="18"/>
              </w:rPr>
              <w:t>m</w:t>
            </w:r>
            <w:proofErr w:type="spellEnd"/>
            <w:r w:rsidRPr="00D54BDA">
              <w:rPr>
                <w:rFonts w:ascii="Arial" w:eastAsia="Calibri" w:hAnsi="Arial" w:cs="Arial"/>
                <w:color w:val="000000"/>
                <w:sz w:val="18"/>
                <w:szCs w:val="18"/>
              </w:rPr>
              <w:t>) metastatic castration-resistant prostate cancer (</w:t>
            </w:r>
            <w:proofErr w:type="spellStart"/>
            <w:r w:rsidRPr="00D54BDA">
              <w:rPr>
                <w:rFonts w:ascii="Arial" w:eastAsia="Calibri" w:hAnsi="Arial" w:cs="Arial"/>
                <w:color w:val="000000"/>
                <w:sz w:val="18"/>
                <w:szCs w:val="18"/>
              </w:rPr>
              <w:t>mCRPC</w:t>
            </w:r>
            <w:proofErr w:type="spellEnd"/>
            <w:r w:rsidRPr="00D54BDA">
              <w:rPr>
                <w:rFonts w:ascii="Arial" w:eastAsia="Calibri" w:hAnsi="Arial" w:cs="Arial"/>
                <w:color w:val="000000"/>
                <w:sz w:val="18"/>
                <w:szCs w:val="18"/>
              </w:rPr>
              <w:t>). Select patients for therapy based on an FDA-approved companion diagnostic for LYNPARZA.</w:t>
            </w:r>
          </w:p>
          <w:p w14:paraId="31F48BAD" w14:textId="77777777" w:rsidR="00D54BDA" w:rsidRPr="00D54BDA" w:rsidRDefault="00D54BDA" w:rsidP="00D54BDA">
            <w:pPr>
              <w:spacing w:after="0" w:line="240" w:lineRule="auto"/>
              <w:rPr>
                <w:rFonts w:ascii="Arial" w:hAnsi="Arial" w:cs="Arial"/>
                <w:sz w:val="18"/>
                <w:szCs w:val="18"/>
              </w:rPr>
            </w:pPr>
          </w:p>
          <w:p w14:paraId="0D9F4B3C" w14:textId="77777777" w:rsidR="00D54BDA" w:rsidRPr="00D54BDA" w:rsidRDefault="00D54BDA" w:rsidP="00D54BDA">
            <w:pPr>
              <w:spacing w:after="0" w:line="240" w:lineRule="auto"/>
              <w:rPr>
                <w:rFonts w:ascii="Arial" w:hAnsi="Arial" w:cs="Arial"/>
                <w:b/>
                <w:bCs/>
                <w:sz w:val="18"/>
                <w:szCs w:val="18"/>
              </w:rPr>
            </w:pPr>
            <w:r w:rsidRPr="00D54BDA">
              <w:rPr>
                <w:rFonts w:ascii="Arial" w:hAnsi="Arial" w:cs="Arial"/>
                <w:b/>
                <w:bCs/>
                <w:sz w:val="18"/>
                <w:szCs w:val="18"/>
              </w:rPr>
              <w:t xml:space="preserve">Please see complete Prescribing Information, including Medication Guide, at </w:t>
            </w:r>
            <w:hyperlink r:id="rId12" w:history="1">
              <w:r w:rsidRPr="00D54BDA">
                <w:rPr>
                  <w:rStyle w:val="Hyperlink"/>
                  <w:rFonts w:ascii="Arial" w:hAnsi="Arial" w:cs="Arial"/>
                  <w:b/>
                  <w:bCs/>
                  <w:sz w:val="18"/>
                  <w:szCs w:val="18"/>
                  <w:u w:val="none"/>
                </w:rPr>
                <w:t>www.lynparzahcp.com</w:t>
              </w:r>
            </w:hyperlink>
            <w:r w:rsidRPr="00D54BDA">
              <w:rPr>
                <w:rStyle w:val="Hyperlink"/>
                <w:rFonts w:ascii="Arial" w:hAnsi="Arial" w:cs="Arial"/>
                <w:b/>
                <w:bCs/>
                <w:sz w:val="18"/>
                <w:szCs w:val="18"/>
                <w:u w:val="none"/>
              </w:rPr>
              <w:t xml:space="preserve"> </w:t>
            </w:r>
            <w:r w:rsidRPr="00D54BDA">
              <w:rPr>
                <w:rFonts w:ascii="Arial" w:hAnsi="Arial" w:cs="Arial"/>
                <w:b/>
                <w:bCs/>
                <w:sz w:val="18"/>
                <w:szCs w:val="18"/>
              </w:rPr>
              <w:t>or at the link on this website.</w:t>
            </w:r>
          </w:p>
          <w:p w14:paraId="3315F90A" w14:textId="77777777" w:rsidR="00D54BDA" w:rsidRPr="00D54BDA" w:rsidRDefault="00D54BDA" w:rsidP="00D54BDA">
            <w:pPr>
              <w:spacing w:after="0" w:line="240" w:lineRule="auto"/>
              <w:rPr>
                <w:rFonts w:ascii="Arial" w:hAnsi="Arial" w:cs="Arial"/>
                <w:sz w:val="18"/>
                <w:szCs w:val="18"/>
              </w:rPr>
            </w:pPr>
          </w:p>
          <w:p w14:paraId="6CFFCFF8"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You are encouraged to report negative side effects of AstraZeneca prescription drugs by calling 1-800-236-9933. If you prefer to report these to the FDA, call 1-800-FDA-1088.</w:t>
            </w:r>
          </w:p>
          <w:p w14:paraId="2CDA470B" w14:textId="77777777" w:rsidR="00D54BDA" w:rsidRPr="00D54BDA" w:rsidRDefault="00D54BDA" w:rsidP="00D54BDA">
            <w:pPr>
              <w:spacing w:after="0" w:line="240" w:lineRule="auto"/>
              <w:rPr>
                <w:rFonts w:ascii="Arial" w:hAnsi="Arial" w:cs="Arial"/>
                <w:sz w:val="18"/>
                <w:szCs w:val="18"/>
              </w:rPr>
            </w:pPr>
          </w:p>
          <w:p w14:paraId="4CE444D7" w14:textId="77777777" w:rsidR="00D54BDA" w:rsidRPr="00D54BDA" w:rsidRDefault="00D54BDA" w:rsidP="00D54BDA">
            <w:pPr>
              <w:spacing w:after="0" w:line="240" w:lineRule="auto"/>
              <w:rPr>
                <w:rFonts w:ascii="Arial" w:hAnsi="Arial" w:cs="Arial"/>
                <w:sz w:val="18"/>
                <w:szCs w:val="18"/>
              </w:rPr>
            </w:pPr>
            <w:r w:rsidRPr="00D54BDA">
              <w:rPr>
                <w:rFonts w:ascii="Arial" w:hAnsi="Arial" w:cs="Arial"/>
                <w:sz w:val="18"/>
                <w:szCs w:val="18"/>
              </w:rPr>
              <w:t>LYNPARZA is a registered trademark of the AstraZeneca group of companies.</w:t>
            </w:r>
          </w:p>
          <w:p w14:paraId="6C31CFC2" w14:textId="77777777" w:rsidR="00D54BDA" w:rsidRPr="00D54BDA" w:rsidRDefault="00D54BDA" w:rsidP="00D54BDA">
            <w:pPr>
              <w:spacing w:after="0" w:line="240" w:lineRule="auto"/>
              <w:rPr>
                <w:rFonts w:ascii="Arial" w:hAnsi="Arial" w:cs="Arial"/>
                <w:sz w:val="18"/>
                <w:szCs w:val="18"/>
              </w:rPr>
            </w:pPr>
          </w:p>
          <w:p w14:paraId="36F3707F" w14:textId="4DFC35A5" w:rsidR="00D54BDA" w:rsidRPr="00D54BDA" w:rsidRDefault="00D54BDA" w:rsidP="00D54BDA">
            <w:pPr>
              <w:pStyle w:val="BasicParagraph"/>
              <w:suppressAutoHyphens/>
              <w:spacing w:line="240" w:lineRule="auto"/>
              <w:ind w:left="90" w:right="181"/>
              <w:rPr>
                <w:rFonts w:ascii="Gotham Bold" w:hAnsi="Gotham Bold" w:cs="Gotham Bold"/>
                <w:b/>
                <w:bCs/>
                <w:color w:val="041726" w:themeColor="text1"/>
                <w:sz w:val="18"/>
                <w:szCs w:val="18"/>
              </w:rPr>
            </w:pPr>
            <w:r w:rsidRPr="00D54BDA">
              <w:rPr>
                <w:rFonts w:ascii="Arial" w:hAnsi="Arial" w:cs="Arial"/>
                <w:sz w:val="18"/>
                <w:szCs w:val="18"/>
              </w:rPr>
              <w:t>©2025 AstraZeneca. All rights reserved. US-94501 Last Updated 2/25</w:t>
            </w:r>
          </w:p>
        </w:tc>
      </w:tr>
    </w:tbl>
    <w:p w14:paraId="3C016A4F" w14:textId="6C5BFF15" w:rsidR="00F253F7" w:rsidRPr="00DE7538" w:rsidRDefault="008F6E08" w:rsidP="00854589">
      <w:pPr>
        <w:spacing w:after="0" w:line="240" w:lineRule="auto"/>
        <w:rPr>
          <w:rFonts w:ascii="Arial" w:hAnsi="Arial" w:cs="Arial"/>
          <w:sz w:val="20"/>
          <w:szCs w:val="20"/>
        </w:rPr>
      </w:pPr>
      <w:r w:rsidRPr="00DE7538">
        <w:lastRenderedPageBreak/>
        <w:br w:type="page"/>
      </w:r>
    </w:p>
    <w:tbl>
      <w:tblPr>
        <w:tblpPr w:leftFromText="180" w:rightFromText="180" w:horzAnchor="margin" w:tblpY="1069"/>
        <w:tblW w:w="12614"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144" w:type="dxa"/>
        </w:tblCellMar>
        <w:tblLook w:val="01E0" w:firstRow="1" w:lastRow="1" w:firstColumn="1" w:lastColumn="1" w:noHBand="0" w:noVBand="0"/>
      </w:tblPr>
      <w:tblGrid>
        <w:gridCol w:w="1556"/>
        <w:gridCol w:w="1662"/>
        <w:gridCol w:w="9377"/>
        <w:gridCol w:w="19"/>
      </w:tblGrid>
      <w:tr w:rsidR="008F6E08" w:rsidRPr="00DE7538" w14:paraId="3413766D" w14:textId="77777777" w:rsidTr="00854589">
        <w:trPr>
          <w:cantSplit/>
          <w:trHeight w:val="317"/>
        </w:trPr>
        <w:tc>
          <w:tcPr>
            <w:tcW w:w="1556" w:type="dxa"/>
            <w:shd w:val="clear" w:color="auto" w:fill="829BAD" w:themeFill="background2"/>
          </w:tcPr>
          <w:p w14:paraId="016E56C2" w14:textId="5483F7F4" w:rsidR="008F6E08" w:rsidRPr="00DE7538" w:rsidRDefault="008F6E08" w:rsidP="00D54BDA">
            <w:pPr>
              <w:pStyle w:val="BasicParagraph"/>
              <w:suppressAutoHyphens/>
              <w:spacing w:line="240" w:lineRule="auto"/>
              <w:ind w:right="181"/>
              <w:rPr>
                <w:rFonts w:ascii="Gotham Bold" w:hAnsi="Gotham Bold" w:cs="Gotham Bold"/>
                <w:b/>
                <w:bCs/>
                <w:color w:val="041726" w:themeColor="text1"/>
                <w:sz w:val="20"/>
                <w:szCs w:val="20"/>
              </w:rPr>
            </w:pPr>
          </w:p>
        </w:tc>
        <w:tc>
          <w:tcPr>
            <w:tcW w:w="1662" w:type="dxa"/>
            <w:shd w:val="clear" w:color="auto" w:fill="829BAD" w:themeFill="background2"/>
          </w:tcPr>
          <w:p w14:paraId="0102F280" w14:textId="77777777" w:rsidR="008F6E08" w:rsidRPr="00DE7538" w:rsidRDefault="008F6E08" w:rsidP="00854589">
            <w:pPr>
              <w:pStyle w:val="BasicParagraph"/>
              <w:suppressAutoHyphens/>
              <w:spacing w:line="240" w:lineRule="auto"/>
              <w:ind w:right="181"/>
              <w:rPr>
                <w:rFonts w:ascii="Karla" w:hAnsi="Karla" w:cs="Karla"/>
                <w:b/>
                <w:bCs/>
                <w:color w:val="041726" w:themeColor="text1"/>
                <w:sz w:val="20"/>
                <w:szCs w:val="20"/>
              </w:rPr>
            </w:pPr>
          </w:p>
        </w:tc>
        <w:tc>
          <w:tcPr>
            <w:tcW w:w="9396" w:type="dxa"/>
            <w:gridSpan w:val="2"/>
            <w:shd w:val="clear" w:color="auto" w:fill="829BAD" w:themeFill="background2"/>
          </w:tcPr>
          <w:p w14:paraId="691DB772" w14:textId="77777777" w:rsidR="008F6E08" w:rsidRPr="00DE7538" w:rsidRDefault="008F6E08" w:rsidP="00854589">
            <w:pPr>
              <w:pStyle w:val="TableParagraph"/>
              <w:spacing w:before="48" w:line="276" w:lineRule="auto"/>
              <w:ind w:left="0"/>
              <w:rPr>
                <w:rFonts w:asciiTheme="majorHAnsi" w:hAnsiTheme="majorHAnsi"/>
                <w:b/>
                <w:noProof/>
                <w:color w:val="FFFFFF" w:themeColor="accent6"/>
                <w:sz w:val="20"/>
                <w:szCs w:val="20"/>
              </w:rPr>
            </w:pPr>
          </w:p>
        </w:tc>
      </w:tr>
      <w:tr w:rsidR="00D54BDA" w:rsidRPr="00B155EF" w14:paraId="1E36722A" w14:textId="77777777" w:rsidTr="00D54BDA">
        <w:trPr>
          <w:gridAfter w:val="1"/>
          <w:wAfter w:w="19" w:type="dxa"/>
          <w:cantSplit/>
          <w:trHeight w:val="317"/>
        </w:trPr>
        <w:tc>
          <w:tcPr>
            <w:tcW w:w="12595" w:type="dxa"/>
            <w:gridSpan w:val="3"/>
          </w:tcPr>
          <w:p w14:paraId="61D2AAD3" w14:textId="0FDC2C3A" w:rsidR="00D54BDA" w:rsidRPr="00DE7538" w:rsidRDefault="00D54BDA" w:rsidP="00854589">
            <w:pPr>
              <w:spacing w:after="0"/>
              <w:ind w:right="176"/>
              <w:rPr>
                <w:rFonts w:asciiTheme="majorHAnsi" w:hAnsiTheme="majorHAnsi"/>
                <w:sz w:val="20"/>
                <w:szCs w:val="20"/>
              </w:rPr>
            </w:pPr>
            <w:r w:rsidRPr="00DE7538">
              <w:rPr>
                <w:rFonts w:asciiTheme="majorHAnsi" w:hAnsiTheme="majorHAnsi"/>
                <w:b/>
                <w:bCs/>
                <w:sz w:val="20"/>
                <w:szCs w:val="20"/>
              </w:rPr>
              <w:t>References</w:t>
            </w:r>
          </w:p>
          <w:p w14:paraId="2652F9D4" w14:textId="77777777" w:rsidR="00D54BDA" w:rsidRPr="00123768" w:rsidRDefault="00D54BDA" w:rsidP="00854589">
            <w:pPr>
              <w:numPr>
                <w:ilvl w:val="0"/>
                <w:numId w:val="25"/>
              </w:numPr>
              <w:spacing w:after="0" w:line="240" w:lineRule="auto"/>
              <w:contextualSpacing/>
              <w:rPr>
                <w:rFonts w:ascii="Karla" w:eastAsia="Gotham Book" w:hAnsi="Karla" w:cs="Arial"/>
                <w:sz w:val="14"/>
                <w:szCs w:val="14"/>
              </w:rPr>
            </w:pPr>
            <w:r w:rsidRPr="00123768">
              <w:rPr>
                <w:rFonts w:ascii="Karla" w:eastAsia="Gotham Book" w:hAnsi="Karla" w:cs="Arial"/>
                <w:sz w:val="14"/>
                <w:szCs w:val="14"/>
              </w:rPr>
              <w:t>LYNPARZA</w:t>
            </w:r>
            <w:r w:rsidRPr="00123768">
              <w:rPr>
                <w:rFonts w:ascii="Karla" w:eastAsia="Gotham Book" w:hAnsi="Karla" w:cs="Arial"/>
                <w:sz w:val="14"/>
                <w:szCs w:val="14"/>
                <w:vertAlign w:val="superscript"/>
              </w:rPr>
              <w:t>®</w:t>
            </w:r>
            <w:r w:rsidRPr="00123768">
              <w:rPr>
                <w:rFonts w:ascii="Karla" w:eastAsia="Gotham Book" w:hAnsi="Karla" w:cs="Arial"/>
                <w:sz w:val="14"/>
                <w:szCs w:val="14"/>
              </w:rPr>
              <w:t xml:space="preserve"> (</w:t>
            </w:r>
            <w:proofErr w:type="spellStart"/>
            <w:r w:rsidRPr="00123768">
              <w:rPr>
                <w:rFonts w:ascii="Karla" w:eastAsia="Gotham Book" w:hAnsi="Karla" w:cs="Arial"/>
                <w:sz w:val="14"/>
                <w:szCs w:val="14"/>
              </w:rPr>
              <w:t>olaparib</w:t>
            </w:r>
            <w:proofErr w:type="spellEnd"/>
            <w:r w:rsidRPr="00123768">
              <w:rPr>
                <w:rFonts w:ascii="Karla" w:eastAsia="Gotham Book" w:hAnsi="Karla" w:cs="Arial"/>
                <w:sz w:val="14"/>
                <w:szCs w:val="14"/>
              </w:rPr>
              <w:t>) [prescribing information]. Wilmington, DE: AstraZeneca Pharmaceuticals LP; 2023.</w:t>
            </w:r>
          </w:p>
          <w:p w14:paraId="5846FC7A" w14:textId="77777777" w:rsidR="00D54BDA" w:rsidRPr="00123768" w:rsidRDefault="00D54BDA" w:rsidP="00854589">
            <w:pPr>
              <w:widowControl w:val="0"/>
              <w:numPr>
                <w:ilvl w:val="0"/>
                <w:numId w:val="25"/>
              </w:numPr>
              <w:autoSpaceDE w:val="0"/>
              <w:autoSpaceDN w:val="0"/>
              <w:spacing w:after="0" w:line="240" w:lineRule="auto"/>
              <w:rPr>
                <w:rFonts w:ascii="Karla" w:eastAsia="Gotham Book" w:hAnsi="Karla" w:cs="Arial"/>
                <w:sz w:val="14"/>
                <w:szCs w:val="14"/>
              </w:rPr>
            </w:pPr>
            <w:r w:rsidRPr="00123768">
              <w:rPr>
                <w:rFonts w:ascii="Karla" w:eastAsia="Gotham Book" w:hAnsi="Karla" w:cs="Arial"/>
                <w:sz w:val="14"/>
                <w:szCs w:val="14"/>
              </w:rPr>
              <w:t xml:space="preserve">US Food &amp; Drug Administration. FDA approves </w:t>
            </w:r>
            <w:proofErr w:type="spellStart"/>
            <w:r w:rsidRPr="00123768">
              <w:rPr>
                <w:rFonts w:ascii="Karla" w:eastAsia="Gotham Book" w:hAnsi="Karla" w:cs="Arial"/>
                <w:sz w:val="14"/>
                <w:szCs w:val="14"/>
              </w:rPr>
              <w:t>olaparib</w:t>
            </w:r>
            <w:proofErr w:type="spellEnd"/>
            <w:r w:rsidRPr="00123768">
              <w:rPr>
                <w:rFonts w:ascii="Karla" w:eastAsia="Gotham Book" w:hAnsi="Karla" w:cs="Arial"/>
                <w:sz w:val="14"/>
                <w:szCs w:val="14"/>
              </w:rPr>
              <w:t xml:space="preserve"> for germline </w:t>
            </w:r>
            <w:r w:rsidRPr="00123768">
              <w:rPr>
                <w:rFonts w:ascii="Karla" w:eastAsia="Gotham Book" w:hAnsi="Karla" w:cs="Arial"/>
                <w:i/>
                <w:iCs/>
                <w:sz w:val="14"/>
                <w:szCs w:val="14"/>
              </w:rPr>
              <w:t>BRCA</w:t>
            </w:r>
            <w:r w:rsidRPr="00123768">
              <w:rPr>
                <w:rFonts w:ascii="Karla" w:eastAsia="Gotham Book" w:hAnsi="Karla" w:cs="Arial"/>
                <w:sz w:val="14"/>
                <w:szCs w:val="14"/>
              </w:rPr>
              <w:t xml:space="preserve">-mutated metastatic breast cancer. January 12, 2018. Accessed January 22, 2025. </w:t>
            </w:r>
            <w:hyperlink r:id="rId13" w:history="1">
              <w:r w:rsidRPr="00123768">
                <w:rPr>
                  <w:rFonts w:ascii="Karla" w:eastAsia="Gotham Book" w:hAnsi="Karla" w:cs="Arial"/>
                  <w:color w:val="0563C1"/>
                  <w:sz w:val="14"/>
                  <w:szCs w:val="14"/>
                  <w:u w:val="single"/>
                </w:rPr>
                <w:t>https://www.fda.gov/drugs/resources-information-approved-drugs/fda-approves-olaparib-germline-brca-mutated-metastatic-breast-cancer</w:t>
              </w:r>
            </w:hyperlink>
          </w:p>
          <w:p w14:paraId="407056EA" w14:textId="77777777" w:rsidR="00D54BDA" w:rsidRPr="00123768" w:rsidRDefault="00D54BDA" w:rsidP="00854589">
            <w:pPr>
              <w:numPr>
                <w:ilvl w:val="0"/>
                <w:numId w:val="25"/>
              </w:numPr>
              <w:spacing w:after="0" w:line="240" w:lineRule="auto"/>
              <w:rPr>
                <w:rFonts w:ascii="Karla" w:eastAsia="Gotham Book" w:hAnsi="Karla" w:cs="Arial"/>
                <w:sz w:val="14"/>
                <w:szCs w:val="14"/>
              </w:rPr>
            </w:pPr>
            <w:r w:rsidRPr="00123768">
              <w:rPr>
                <w:rFonts w:ascii="Karla" w:eastAsia="Gotham Book" w:hAnsi="Karla" w:cs="Arial"/>
                <w:sz w:val="14"/>
                <w:szCs w:val="14"/>
                <w:lang w:val="fr-FR"/>
              </w:rPr>
              <w:t xml:space="preserve">Robson M, Im SA, </w:t>
            </w:r>
            <w:proofErr w:type="spellStart"/>
            <w:r w:rsidRPr="00123768">
              <w:rPr>
                <w:rFonts w:ascii="Karla" w:eastAsia="Gotham Book" w:hAnsi="Karla" w:cs="Arial"/>
                <w:sz w:val="14"/>
                <w:szCs w:val="14"/>
                <w:lang w:val="fr-FR"/>
              </w:rPr>
              <w:t>Senkus</w:t>
            </w:r>
            <w:proofErr w:type="spellEnd"/>
            <w:r w:rsidRPr="00123768">
              <w:rPr>
                <w:rFonts w:ascii="Karla" w:eastAsia="Gotham Book" w:hAnsi="Karla" w:cs="Arial"/>
                <w:sz w:val="14"/>
                <w:szCs w:val="14"/>
                <w:lang w:val="fr-FR"/>
              </w:rPr>
              <w:t xml:space="preserve"> E, et al. </w:t>
            </w:r>
            <w:r w:rsidRPr="00123768">
              <w:rPr>
                <w:rFonts w:ascii="Karla" w:eastAsia="Gotham Book" w:hAnsi="Karla" w:cs="Arial"/>
                <w:sz w:val="14"/>
                <w:szCs w:val="14"/>
              </w:rPr>
              <w:t xml:space="preserve">Olaparib for metastatic breast cancer in patients with a germline </w:t>
            </w:r>
            <w:r w:rsidRPr="00123768">
              <w:rPr>
                <w:rFonts w:ascii="Karla" w:eastAsia="Gotham Book" w:hAnsi="Karla" w:cs="Arial"/>
                <w:i/>
                <w:iCs/>
                <w:sz w:val="14"/>
                <w:szCs w:val="14"/>
              </w:rPr>
              <w:t>BRCA</w:t>
            </w:r>
            <w:r w:rsidRPr="00123768">
              <w:rPr>
                <w:rFonts w:ascii="Karla" w:eastAsia="Gotham Book" w:hAnsi="Karla" w:cs="Arial"/>
                <w:sz w:val="14"/>
                <w:szCs w:val="14"/>
              </w:rPr>
              <w:t xml:space="preserve"> mutation. </w:t>
            </w:r>
            <w:r w:rsidRPr="00123768">
              <w:rPr>
                <w:rFonts w:ascii="Karla" w:eastAsia="Gotham Book" w:hAnsi="Karla" w:cs="Arial"/>
                <w:i/>
                <w:iCs/>
                <w:sz w:val="14"/>
                <w:szCs w:val="14"/>
              </w:rPr>
              <w:t>N Engl J Med</w:t>
            </w:r>
            <w:r w:rsidRPr="00123768">
              <w:rPr>
                <w:rFonts w:ascii="Karla" w:eastAsia="Gotham Book" w:hAnsi="Karla" w:cs="Arial"/>
                <w:sz w:val="14"/>
                <w:szCs w:val="14"/>
              </w:rPr>
              <w:t xml:space="preserve">. </w:t>
            </w:r>
            <w:r w:rsidRPr="00123768">
              <w:rPr>
                <w:rFonts w:ascii="Karla" w:eastAsia="Gotham Book" w:hAnsi="Karla" w:cs="Arial"/>
                <w:sz w:val="14"/>
                <w:szCs w:val="14"/>
              </w:rPr>
              <w:br/>
              <w:t xml:space="preserve">2017;377(6):523-533. </w:t>
            </w:r>
          </w:p>
          <w:p w14:paraId="5DF35E00" w14:textId="77777777" w:rsidR="00D54BDA" w:rsidRPr="00123768" w:rsidRDefault="00D54BDA" w:rsidP="00854589">
            <w:pPr>
              <w:widowControl w:val="0"/>
              <w:numPr>
                <w:ilvl w:val="0"/>
                <w:numId w:val="25"/>
              </w:numPr>
              <w:autoSpaceDE w:val="0"/>
              <w:autoSpaceDN w:val="0"/>
              <w:spacing w:after="0" w:line="240" w:lineRule="auto"/>
              <w:rPr>
                <w:rFonts w:ascii="Karla" w:eastAsia="Times New Roman" w:hAnsi="Karla" w:cs="Segoe UI"/>
                <w:color w:val="212121"/>
                <w:sz w:val="14"/>
                <w:szCs w:val="14"/>
              </w:rPr>
            </w:pPr>
            <w:r w:rsidRPr="00123768">
              <w:rPr>
                <w:rFonts w:ascii="Karla" w:eastAsia="Times New Roman" w:hAnsi="Karla" w:cs="Segoe UI"/>
                <w:color w:val="212121"/>
                <w:sz w:val="14"/>
                <w:szCs w:val="14"/>
              </w:rPr>
              <w:t xml:space="preserve">American Cancer Society (ACS). Cancer Facts &amp; Figures. 2024. </w:t>
            </w:r>
            <w:r w:rsidRPr="00123768">
              <w:rPr>
                <w:rFonts w:ascii="Karla" w:eastAsia="Gotham Book" w:hAnsi="Karla" w:cs="Arial"/>
                <w:sz w:val="14"/>
                <w:szCs w:val="14"/>
              </w:rPr>
              <w:t>Accessed January 22, 2025</w:t>
            </w:r>
            <w:r w:rsidRPr="00123768">
              <w:rPr>
                <w:rFonts w:ascii="Karla" w:eastAsia="Times New Roman" w:hAnsi="Karla" w:cs="Segoe UI"/>
                <w:color w:val="212121"/>
                <w:sz w:val="14"/>
                <w:szCs w:val="14"/>
              </w:rPr>
              <w:t xml:space="preserve">. </w:t>
            </w:r>
            <w:r w:rsidRPr="00123768">
              <w:rPr>
                <w:rFonts w:ascii="Karla" w:eastAsia="Gotham Book" w:hAnsi="Karla" w:cs="Arial"/>
                <w:color w:val="0563C1"/>
                <w:sz w:val="14"/>
                <w:szCs w:val="14"/>
                <w:u w:val="single"/>
              </w:rPr>
              <w:t>https://www.cancer.org/content/dam/cancer-org/research/cancer-facts-and-statistics/annual-cancer-facts-and-figures/2024/2024-cancer-facts-and-figures-acs.pdf</w:t>
            </w:r>
          </w:p>
          <w:p w14:paraId="5C6A1B7C" w14:textId="77777777" w:rsidR="00D54BDA" w:rsidRPr="00123768" w:rsidRDefault="00D54BDA" w:rsidP="00854589">
            <w:pPr>
              <w:numPr>
                <w:ilvl w:val="0"/>
                <w:numId w:val="25"/>
              </w:numPr>
              <w:spacing w:after="0" w:line="240" w:lineRule="auto"/>
              <w:rPr>
                <w:rFonts w:ascii="Karla" w:eastAsia="Gotham Book" w:hAnsi="Karla" w:cs="Arial"/>
                <w:sz w:val="14"/>
                <w:szCs w:val="14"/>
              </w:rPr>
            </w:pPr>
            <w:r w:rsidRPr="00123768">
              <w:rPr>
                <w:rFonts w:ascii="Karla" w:eastAsia="Gotham Book" w:hAnsi="Karla" w:cs="Arial"/>
                <w:sz w:val="14"/>
                <w:szCs w:val="14"/>
              </w:rPr>
              <w:t xml:space="preserve">National Cancer Institute. Cancer Stat Facts: Breast Cancer. 2024. Accessed January 22, 2025. </w:t>
            </w:r>
            <w:r w:rsidRPr="00123768">
              <w:rPr>
                <w:rFonts w:ascii="Karla" w:eastAsia="Gotham Book" w:hAnsi="Karla" w:cs="Gotham Book"/>
                <w:color w:val="0563C1"/>
                <w:sz w:val="14"/>
                <w:szCs w:val="14"/>
                <w:u w:val="single"/>
              </w:rPr>
              <w:t>https://seer.cancer.gov/statfacts/html/breast.html</w:t>
            </w:r>
          </w:p>
          <w:p w14:paraId="74920189" w14:textId="77777777" w:rsidR="00D54BDA" w:rsidRPr="00123768" w:rsidRDefault="00D54BDA" w:rsidP="00854589">
            <w:pPr>
              <w:numPr>
                <w:ilvl w:val="0"/>
                <w:numId w:val="25"/>
              </w:numPr>
              <w:spacing w:after="0" w:line="240" w:lineRule="auto"/>
              <w:rPr>
                <w:rFonts w:ascii="Karla" w:eastAsia="Gotham Book" w:hAnsi="Karla" w:cs="Arial"/>
                <w:sz w:val="14"/>
                <w:szCs w:val="14"/>
              </w:rPr>
            </w:pPr>
            <w:proofErr w:type="spellStart"/>
            <w:r w:rsidRPr="00123768">
              <w:rPr>
                <w:rFonts w:ascii="Karla" w:eastAsia="Gotham Book" w:hAnsi="Karla" w:cs="Arial"/>
                <w:sz w:val="14"/>
                <w:szCs w:val="14"/>
                <w:lang w:val="es-ES"/>
              </w:rPr>
              <w:t>Manahan</w:t>
            </w:r>
            <w:proofErr w:type="spellEnd"/>
            <w:r w:rsidRPr="00123768">
              <w:rPr>
                <w:rFonts w:ascii="Karla" w:eastAsia="Gotham Book" w:hAnsi="Karla" w:cs="Arial"/>
                <w:sz w:val="14"/>
                <w:szCs w:val="14"/>
                <w:lang w:val="es-ES"/>
              </w:rPr>
              <w:t xml:space="preserve"> ER, </w:t>
            </w:r>
            <w:proofErr w:type="spellStart"/>
            <w:r w:rsidRPr="00123768">
              <w:rPr>
                <w:rFonts w:ascii="Karla" w:eastAsia="Gotham Book" w:hAnsi="Karla" w:cs="Arial"/>
                <w:sz w:val="14"/>
                <w:szCs w:val="14"/>
                <w:lang w:val="es-ES"/>
              </w:rPr>
              <w:t>Kuerer</w:t>
            </w:r>
            <w:proofErr w:type="spellEnd"/>
            <w:r w:rsidRPr="00123768">
              <w:rPr>
                <w:rFonts w:ascii="Karla" w:eastAsia="Gotham Book" w:hAnsi="Karla" w:cs="Arial"/>
                <w:sz w:val="14"/>
                <w:szCs w:val="14"/>
                <w:lang w:val="es-ES"/>
              </w:rPr>
              <w:t xml:space="preserve"> HM, </w:t>
            </w:r>
            <w:proofErr w:type="spellStart"/>
            <w:r w:rsidRPr="00123768">
              <w:rPr>
                <w:rFonts w:ascii="Karla" w:eastAsia="Gotham Book" w:hAnsi="Karla" w:cs="Arial"/>
                <w:sz w:val="14"/>
                <w:szCs w:val="14"/>
                <w:lang w:val="es-ES"/>
              </w:rPr>
              <w:t>Sebastian</w:t>
            </w:r>
            <w:proofErr w:type="spellEnd"/>
            <w:r w:rsidRPr="00123768">
              <w:rPr>
                <w:rFonts w:ascii="Karla" w:eastAsia="Gotham Book" w:hAnsi="Karla" w:cs="Arial"/>
                <w:sz w:val="14"/>
                <w:szCs w:val="14"/>
                <w:lang w:val="es-ES"/>
              </w:rPr>
              <w:t xml:space="preserve"> M, et al. </w:t>
            </w:r>
            <w:r w:rsidRPr="00123768">
              <w:rPr>
                <w:rFonts w:ascii="Karla" w:eastAsia="Gotham Book" w:hAnsi="Karla" w:cs="Arial"/>
                <w:sz w:val="14"/>
                <w:szCs w:val="14"/>
              </w:rPr>
              <w:t xml:space="preserve">Consensus guidelines on genetic testing for hereditary breast cancer from the </w:t>
            </w:r>
            <w:proofErr w:type="spellStart"/>
            <w:r w:rsidRPr="00123768">
              <w:rPr>
                <w:rFonts w:ascii="Karla" w:eastAsia="Gotham Book" w:hAnsi="Karla" w:cs="Arial"/>
                <w:sz w:val="14"/>
                <w:szCs w:val="14"/>
              </w:rPr>
              <w:t>american</w:t>
            </w:r>
            <w:proofErr w:type="spellEnd"/>
            <w:r w:rsidRPr="00123768">
              <w:rPr>
                <w:rFonts w:ascii="Karla" w:eastAsia="Gotham Book" w:hAnsi="Karla" w:cs="Arial"/>
                <w:sz w:val="14"/>
                <w:szCs w:val="14"/>
              </w:rPr>
              <w:t xml:space="preserve"> society of breast surgeons. </w:t>
            </w:r>
            <w:r w:rsidRPr="00123768">
              <w:rPr>
                <w:rFonts w:ascii="Karla" w:eastAsia="Gotham Book" w:hAnsi="Karla" w:cs="Arial"/>
                <w:i/>
                <w:iCs/>
                <w:sz w:val="14"/>
                <w:szCs w:val="14"/>
              </w:rPr>
              <w:t>Ann Surg Oncol</w:t>
            </w:r>
            <w:r w:rsidRPr="00123768">
              <w:rPr>
                <w:rFonts w:ascii="Karla" w:eastAsia="Gotham Book" w:hAnsi="Karla" w:cs="Arial"/>
                <w:sz w:val="14"/>
                <w:szCs w:val="14"/>
              </w:rPr>
              <w:t xml:space="preserve">. 2019;26(10):3025-3031. </w:t>
            </w:r>
          </w:p>
          <w:p w14:paraId="2051CD4C" w14:textId="77777777" w:rsidR="00D54BDA" w:rsidRPr="00123768" w:rsidRDefault="00D54BDA" w:rsidP="00854589">
            <w:pPr>
              <w:numPr>
                <w:ilvl w:val="0"/>
                <w:numId w:val="25"/>
              </w:numPr>
              <w:spacing w:after="0" w:line="240" w:lineRule="auto"/>
              <w:contextualSpacing/>
              <w:rPr>
                <w:rFonts w:ascii="Karla" w:eastAsia="Gotham Book" w:hAnsi="Karla" w:cs="Arial"/>
                <w:sz w:val="14"/>
                <w:szCs w:val="14"/>
              </w:rPr>
            </w:pPr>
            <w:r w:rsidRPr="00123768">
              <w:rPr>
                <w:rFonts w:ascii="Karla" w:eastAsia="Gotham Book" w:hAnsi="Karla" w:cs="Arial"/>
                <w:sz w:val="14"/>
                <w:szCs w:val="14"/>
              </w:rPr>
              <w:t xml:space="preserve">Henry NL, Somerfield MR, </w:t>
            </w:r>
            <w:proofErr w:type="spellStart"/>
            <w:r w:rsidRPr="00123768">
              <w:rPr>
                <w:rFonts w:ascii="Karla" w:eastAsia="Gotham Book" w:hAnsi="Karla" w:cs="Arial"/>
                <w:sz w:val="14"/>
                <w:szCs w:val="14"/>
              </w:rPr>
              <w:t>Dayao</w:t>
            </w:r>
            <w:proofErr w:type="spellEnd"/>
            <w:r w:rsidRPr="00123768">
              <w:rPr>
                <w:rFonts w:ascii="Karla" w:eastAsia="Gotham Book" w:hAnsi="Karla" w:cs="Arial"/>
                <w:sz w:val="14"/>
                <w:szCs w:val="14"/>
              </w:rPr>
              <w:t xml:space="preserve"> Z, et al. Biomarkers for systemic therapy in metastatic breast cancer: ASCO Guideline Update. </w:t>
            </w:r>
            <w:r w:rsidRPr="00123768">
              <w:rPr>
                <w:rFonts w:ascii="Karla" w:eastAsia="Gotham Book" w:hAnsi="Karla" w:cs="Arial"/>
                <w:i/>
                <w:iCs/>
                <w:sz w:val="14"/>
                <w:szCs w:val="14"/>
              </w:rPr>
              <w:t>J Clin Oncol</w:t>
            </w:r>
            <w:r w:rsidRPr="00123768">
              <w:rPr>
                <w:rFonts w:ascii="Karla" w:eastAsia="Gotham Book" w:hAnsi="Karla" w:cs="Arial"/>
                <w:sz w:val="14"/>
                <w:szCs w:val="14"/>
              </w:rPr>
              <w:t xml:space="preserve">. </w:t>
            </w:r>
            <w:proofErr w:type="gramStart"/>
            <w:r w:rsidRPr="00123768">
              <w:rPr>
                <w:rFonts w:ascii="Karla" w:eastAsia="Gotham Book" w:hAnsi="Karla" w:cs="Arial"/>
                <w:sz w:val="14"/>
                <w:szCs w:val="14"/>
              </w:rPr>
              <w:t>2022;40:3205</w:t>
            </w:r>
            <w:proofErr w:type="gramEnd"/>
            <w:r w:rsidRPr="00123768">
              <w:rPr>
                <w:rFonts w:ascii="Karla" w:eastAsia="Gotham Book" w:hAnsi="Karla" w:cs="Arial"/>
                <w:sz w:val="14"/>
                <w:szCs w:val="14"/>
              </w:rPr>
              <w:t>-3221.</w:t>
            </w:r>
          </w:p>
          <w:p w14:paraId="36577BC0" w14:textId="77777777" w:rsidR="00D54BDA" w:rsidRPr="00123768" w:rsidRDefault="00D54BDA" w:rsidP="00854589">
            <w:pPr>
              <w:numPr>
                <w:ilvl w:val="0"/>
                <w:numId w:val="25"/>
              </w:numPr>
              <w:spacing w:after="0" w:line="240" w:lineRule="auto"/>
              <w:rPr>
                <w:rFonts w:ascii="Karla" w:eastAsia="Gotham Book" w:hAnsi="Karla" w:cs="Arial"/>
                <w:sz w:val="14"/>
                <w:szCs w:val="14"/>
              </w:rPr>
            </w:pPr>
            <w:r w:rsidRPr="00123768">
              <w:rPr>
                <w:rFonts w:ascii="Karla" w:eastAsia="Gotham Book" w:hAnsi="Karla" w:cs="Arial"/>
                <w:sz w:val="14"/>
                <w:szCs w:val="14"/>
              </w:rPr>
              <w:t xml:space="preserve">Tutt ANJ, Garber JE, Kaufman B, et al; </w:t>
            </w:r>
            <w:proofErr w:type="spellStart"/>
            <w:r w:rsidRPr="00123768">
              <w:rPr>
                <w:rFonts w:ascii="Karla" w:eastAsia="Gotham Book" w:hAnsi="Karla" w:cs="Arial"/>
                <w:sz w:val="14"/>
                <w:szCs w:val="14"/>
              </w:rPr>
              <w:t>OlympiA</w:t>
            </w:r>
            <w:proofErr w:type="spellEnd"/>
            <w:r w:rsidRPr="00123768">
              <w:rPr>
                <w:rFonts w:ascii="Karla" w:eastAsia="Gotham Book" w:hAnsi="Karla" w:cs="Arial"/>
                <w:sz w:val="14"/>
                <w:szCs w:val="14"/>
              </w:rPr>
              <w:t xml:space="preserve"> Clinical Trial Steering Committee and Investigators. Adjuvant </w:t>
            </w:r>
            <w:proofErr w:type="spellStart"/>
            <w:r w:rsidRPr="00123768">
              <w:rPr>
                <w:rFonts w:ascii="Karla" w:eastAsia="Gotham Book" w:hAnsi="Karla" w:cs="Arial"/>
                <w:sz w:val="14"/>
                <w:szCs w:val="14"/>
              </w:rPr>
              <w:t>olaparib</w:t>
            </w:r>
            <w:proofErr w:type="spellEnd"/>
            <w:r w:rsidRPr="00123768">
              <w:rPr>
                <w:rFonts w:ascii="Karla" w:eastAsia="Gotham Book" w:hAnsi="Karla" w:cs="Arial"/>
                <w:sz w:val="14"/>
                <w:szCs w:val="14"/>
              </w:rPr>
              <w:t xml:space="preserve"> for patients with </w:t>
            </w:r>
            <w:r w:rsidRPr="00123768">
              <w:rPr>
                <w:rFonts w:ascii="Karla" w:eastAsia="Gotham Book" w:hAnsi="Karla" w:cs="Arial"/>
                <w:i/>
                <w:iCs/>
                <w:sz w:val="14"/>
                <w:szCs w:val="14"/>
              </w:rPr>
              <w:t>BRCA1</w:t>
            </w:r>
            <w:r w:rsidRPr="00123768">
              <w:rPr>
                <w:rFonts w:ascii="Karla" w:eastAsia="Gotham Book" w:hAnsi="Karla" w:cs="Arial"/>
                <w:sz w:val="14"/>
                <w:szCs w:val="14"/>
              </w:rPr>
              <w:t xml:space="preserve">- or </w:t>
            </w:r>
            <w:r w:rsidRPr="00123768">
              <w:rPr>
                <w:rFonts w:ascii="Karla" w:eastAsia="Gotham Book" w:hAnsi="Karla" w:cs="Arial"/>
                <w:i/>
                <w:iCs/>
                <w:sz w:val="14"/>
                <w:szCs w:val="14"/>
              </w:rPr>
              <w:t>BRCA2</w:t>
            </w:r>
            <w:r w:rsidRPr="00123768">
              <w:rPr>
                <w:rFonts w:ascii="Karla" w:eastAsia="Gotham Book" w:hAnsi="Karla" w:cs="Arial"/>
                <w:sz w:val="14"/>
                <w:szCs w:val="14"/>
              </w:rPr>
              <w:t xml:space="preserve">-mutated breast cancer. </w:t>
            </w:r>
            <w:r w:rsidRPr="00123768">
              <w:rPr>
                <w:rFonts w:ascii="Karla" w:eastAsia="Gotham Book" w:hAnsi="Karla" w:cs="Arial"/>
                <w:i/>
                <w:iCs/>
                <w:sz w:val="14"/>
                <w:szCs w:val="14"/>
              </w:rPr>
              <w:t>N Engl J Med</w:t>
            </w:r>
            <w:r w:rsidRPr="00123768">
              <w:rPr>
                <w:rFonts w:ascii="Karla" w:eastAsia="Gotham Book" w:hAnsi="Karla" w:cs="Arial"/>
                <w:sz w:val="14"/>
                <w:szCs w:val="14"/>
              </w:rPr>
              <w:t>. 2021;384(25):2394-2405.</w:t>
            </w:r>
          </w:p>
          <w:p w14:paraId="55334AB1" w14:textId="77777777" w:rsidR="00D54BDA" w:rsidRPr="00123768" w:rsidRDefault="00D54BDA" w:rsidP="00854589">
            <w:pPr>
              <w:numPr>
                <w:ilvl w:val="0"/>
                <w:numId w:val="25"/>
              </w:numPr>
              <w:spacing w:after="0" w:line="240" w:lineRule="auto"/>
              <w:rPr>
                <w:rFonts w:ascii="Karla" w:eastAsia="Gotham Book" w:hAnsi="Karla" w:cs="Arial"/>
                <w:sz w:val="14"/>
                <w:szCs w:val="14"/>
              </w:rPr>
            </w:pPr>
            <w:r w:rsidRPr="00123768">
              <w:rPr>
                <w:rFonts w:ascii="Karla" w:eastAsia="Gotham Book" w:hAnsi="Karla" w:cs="Arial"/>
                <w:sz w:val="14"/>
                <w:szCs w:val="14"/>
              </w:rPr>
              <w:t xml:space="preserve">Tutt ANJ, Garber JE, Kaufman B, et al; </w:t>
            </w:r>
            <w:proofErr w:type="spellStart"/>
            <w:r w:rsidRPr="00123768">
              <w:rPr>
                <w:rFonts w:ascii="Karla" w:eastAsia="Gotham Book" w:hAnsi="Karla" w:cs="Arial"/>
                <w:sz w:val="14"/>
                <w:szCs w:val="14"/>
              </w:rPr>
              <w:t>OlympiA</w:t>
            </w:r>
            <w:proofErr w:type="spellEnd"/>
            <w:r w:rsidRPr="00123768">
              <w:rPr>
                <w:rFonts w:ascii="Karla" w:eastAsia="Gotham Book" w:hAnsi="Karla" w:cs="Arial"/>
                <w:sz w:val="14"/>
                <w:szCs w:val="14"/>
              </w:rPr>
              <w:t xml:space="preserve"> Clinical Trial Steering Committee and Investigators. Adjuvant </w:t>
            </w:r>
            <w:proofErr w:type="spellStart"/>
            <w:r w:rsidRPr="00123768">
              <w:rPr>
                <w:rFonts w:ascii="Karla" w:eastAsia="Gotham Book" w:hAnsi="Karla" w:cs="Arial"/>
                <w:sz w:val="14"/>
                <w:szCs w:val="14"/>
              </w:rPr>
              <w:t>olaparib</w:t>
            </w:r>
            <w:proofErr w:type="spellEnd"/>
            <w:r w:rsidRPr="00123768">
              <w:rPr>
                <w:rFonts w:ascii="Karla" w:eastAsia="Gotham Book" w:hAnsi="Karla" w:cs="Arial"/>
                <w:sz w:val="14"/>
                <w:szCs w:val="14"/>
              </w:rPr>
              <w:t xml:space="preserve"> for patients with </w:t>
            </w:r>
            <w:r w:rsidRPr="00123768">
              <w:rPr>
                <w:rFonts w:ascii="Karla" w:eastAsia="Gotham Book" w:hAnsi="Karla" w:cs="Arial"/>
                <w:i/>
                <w:iCs/>
                <w:sz w:val="14"/>
                <w:szCs w:val="14"/>
              </w:rPr>
              <w:t>BRCA1</w:t>
            </w:r>
            <w:r w:rsidRPr="00123768">
              <w:rPr>
                <w:rFonts w:ascii="Karla" w:eastAsia="Gotham Book" w:hAnsi="Karla" w:cs="Arial"/>
                <w:sz w:val="14"/>
                <w:szCs w:val="14"/>
              </w:rPr>
              <w:t xml:space="preserve">- or </w:t>
            </w:r>
            <w:r w:rsidRPr="00123768">
              <w:rPr>
                <w:rFonts w:ascii="Karla" w:eastAsia="Gotham Book" w:hAnsi="Karla" w:cs="Arial"/>
                <w:i/>
                <w:iCs/>
                <w:sz w:val="14"/>
                <w:szCs w:val="14"/>
              </w:rPr>
              <w:t>BRCA2</w:t>
            </w:r>
            <w:r w:rsidRPr="00123768">
              <w:rPr>
                <w:rFonts w:ascii="Karla" w:eastAsia="Gotham Book" w:hAnsi="Karla" w:cs="Arial"/>
                <w:sz w:val="14"/>
                <w:szCs w:val="14"/>
              </w:rPr>
              <w:t xml:space="preserve">-mutated breast cancer [Supplementary Appendix]. </w:t>
            </w:r>
            <w:r w:rsidRPr="00123768">
              <w:rPr>
                <w:rFonts w:ascii="Karla" w:eastAsia="Gotham Book" w:hAnsi="Karla" w:cs="Arial"/>
                <w:i/>
                <w:iCs/>
                <w:sz w:val="14"/>
                <w:szCs w:val="14"/>
              </w:rPr>
              <w:t>N Engl J Med</w:t>
            </w:r>
            <w:r w:rsidRPr="00123768">
              <w:rPr>
                <w:rFonts w:ascii="Karla" w:eastAsia="Gotham Book" w:hAnsi="Karla" w:cs="Arial"/>
                <w:sz w:val="14"/>
                <w:szCs w:val="14"/>
              </w:rPr>
              <w:t>. 2021;384(25):2394-2405.</w:t>
            </w:r>
          </w:p>
          <w:p w14:paraId="38C4BC21" w14:textId="77777777" w:rsidR="00D54BDA" w:rsidRPr="00123768" w:rsidRDefault="00D54BDA" w:rsidP="00854589">
            <w:pPr>
              <w:numPr>
                <w:ilvl w:val="0"/>
                <w:numId w:val="25"/>
              </w:numPr>
              <w:spacing w:after="0" w:line="240" w:lineRule="auto"/>
              <w:contextualSpacing/>
              <w:rPr>
                <w:rFonts w:ascii="Karla" w:eastAsia="Gotham Book" w:hAnsi="Karla" w:cs="Arial"/>
                <w:sz w:val="14"/>
                <w:szCs w:val="14"/>
              </w:rPr>
            </w:pPr>
            <w:r w:rsidRPr="00123768">
              <w:rPr>
                <w:rFonts w:ascii="Karla" w:eastAsia="Times New Roman" w:hAnsi="Karla" w:cs="Segoe UI"/>
                <w:color w:val="212121"/>
                <w:sz w:val="14"/>
                <w:szCs w:val="14"/>
              </w:rPr>
              <w:t xml:space="preserve">Geyer CE Jr, Garber JE, </w:t>
            </w:r>
            <w:proofErr w:type="spellStart"/>
            <w:r w:rsidRPr="00123768">
              <w:rPr>
                <w:rFonts w:ascii="Karla" w:eastAsia="Times New Roman" w:hAnsi="Karla" w:cs="Segoe UI"/>
                <w:color w:val="212121"/>
                <w:sz w:val="14"/>
                <w:szCs w:val="14"/>
              </w:rPr>
              <w:t>Gelber</w:t>
            </w:r>
            <w:proofErr w:type="spellEnd"/>
            <w:r w:rsidRPr="00123768">
              <w:rPr>
                <w:rFonts w:ascii="Karla" w:eastAsia="Times New Roman" w:hAnsi="Karla" w:cs="Segoe UI"/>
                <w:color w:val="212121"/>
                <w:sz w:val="14"/>
                <w:szCs w:val="14"/>
              </w:rPr>
              <w:t xml:space="preserve"> RD, et al; </w:t>
            </w:r>
            <w:proofErr w:type="spellStart"/>
            <w:r w:rsidRPr="00123768">
              <w:rPr>
                <w:rFonts w:ascii="Karla" w:eastAsia="Times New Roman" w:hAnsi="Karla" w:cs="Segoe UI"/>
                <w:color w:val="212121"/>
                <w:sz w:val="14"/>
                <w:szCs w:val="14"/>
              </w:rPr>
              <w:t>OlympiA</w:t>
            </w:r>
            <w:proofErr w:type="spellEnd"/>
            <w:r w:rsidRPr="00123768">
              <w:rPr>
                <w:rFonts w:ascii="Karla" w:eastAsia="Times New Roman" w:hAnsi="Karla" w:cs="Segoe UI"/>
                <w:color w:val="212121"/>
                <w:sz w:val="14"/>
                <w:szCs w:val="14"/>
              </w:rPr>
              <w:t xml:space="preserve"> Clinical Trial Steering Committee and Investigators. Overall survival in the </w:t>
            </w:r>
            <w:proofErr w:type="spellStart"/>
            <w:r w:rsidRPr="00123768">
              <w:rPr>
                <w:rFonts w:ascii="Karla" w:eastAsia="Times New Roman" w:hAnsi="Karla" w:cs="Segoe UI"/>
                <w:color w:val="212121"/>
                <w:sz w:val="14"/>
                <w:szCs w:val="14"/>
              </w:rPr>
              <w:t>OlympiA</w:t>
            </w:r>
            <w:proofErr w:type="spellEnd"/>
            <w:r w:rsidRPr="00123768">
              <w:rPr>
                <w:rFonts w:ascii="Karla" w:eastAsia="Times New Roman" w:hAnsi="Karla" w:cs="Segoe UI"/>
                <w:color w:val="212121"/>
                <w:sz w:val="14"/>
                <w:szCs w:val="14"/>
              </w:rPr>
              <w:t xml:space="preserve"> phase III trial of adjuvant </w:t>
            </w:r>
            <w:proofErr w:type="spellStart"/>
            <w:r w:rsidRPr="00123768">
              <w:rPr>
                <w:rFonts w:ascii="Karla" w:eastAsia="Times New Roman" w:hAnsi="Karla" w:cs="Segoe UI"/>
                <w:color w:val="212121"/>
                <w:sz w:val="14"/>
                <w:szCs w:val="14"/>
              </w:rPr>
              <w:t>olaparib</w:t>
            </w:r>
            <w:proofErr w:type="spellEnd"/>
            <w:r w:rsidRPr="00123768">
              <w:rPr>
                <w:rFonts w:ascii="Karla" w:eastAsia="Times New Roman" w:hAnsi="Karla" w:cs="Segoe UI"/>
                <w:color w:val="212121"/>
                <w:sz w:val="14"/>
                <w:szCs w:val="14"/>
              </w:rPr>
              <w:t xml:space="preserve"> in patients with germline pathogenic variants in </w:t>
            </w:r>
            <w:r w:rsidRPr="00123768">
              <w:rPr>
                <w:rFonts w:ascii="Karla" w:eastAsia="Times New Roman" w:hAnsi="Karla" w:cs="Segoe UI"/>
                <w:i/>
                <w:iCs/>
                <w:color w:val="212121"/>
                <w:sz w:val="14"/>
                <w:szCs w:val="14"/>
              </w:rPr>
              <w:t>BRCA1/2</w:t>
            </w:r>
            <w:r w:rsidRPr="00123768">
              <w:rPr>
                <w:rFonts w:ascii="Karla" w:eastAsia="Times New Roman" w:hAnsi="Karla" w:cs="Segoe UI"/>
                <w:color w:val="212121"/>
                <w:sz w:val="14"/>
                <w:szCs w:val="14"/>
              </w:rPr>
              <w:t xml:space="preserve"> and high-risk, early breast cancer. </w:t>
            </w:r>
            <w:r w:rsidRPr="00123768">
              <w:rPr>
                <w:rFonts w:ascii="Karla" w:eastAsia="Times New Roman" w:hAnsi="Karla" w:cs="Segoe UI"/>
                <w:i/>
                <w:iCs/>
                <w:color w:val="212121"/>
                <w:sz w:val="14"/>
                <w:szCs w:val="14"/>
              </w:rPr>
              <w:t>Ann Oncol</w:t>
            </w:r>
            <w:r w:rsidRPr="00123768">
              <w:rPr>
                <w:rFonts w:ascii="Karla" w:eastAsia="Times New Roman" w:hAnsi="Karla" w:cs="Segoe UI"/>
                <w:color w:val="212121"/>
                <w:sz w:val="14"/>
                <w:szCs w:val="14"/>
              </w:rPr>
              <w:t>. 2022;33(12):1250-1268.</w:t>
            </w:r>
          </w:p>
          <w:p w14:paraId="6E721786" w14:textId="77777777" w:rsidR="00D54BDA" w:rsidRPr="00123768" w:rsidRDefault="00D54BDA" w:rsidP="00854589">
            <w:pPr>
              <w:numPr>
                <w:ilvl w:val="0"/>
                <w:numId w:val="25"/>
              </w:numPr>
              <w:spacing w:after="0" w:line="240" w:lineRule="auto"/>
              <w:rPr>
                <w:rFonts w:ascii="Karla" w:eastAsia="Gotham Book" w:hAnsi="Karla" w:cs="Arial"/>
                <w:sz w:val="14"/>
                <w:szCs w:val="14"/>
              </w:rPr>
            </w:pPr>
            <w:proofErr w:type="spellStart"/>
            <w:r w:rsidRPr="00123768">
              <w:rPr>
                <w:rFonts w:ascii="Karla" w:eastAsia="Karla" w:hAnsi="Karla" w:cs="Arial"/>
                <w:sz w:val="14"/>
                <w:szCs w:val="14"/>
              </w:rPr>
              <w:t>Hortobagyi</w:t>
            </w:r>
            <w:proofErr w:type="spellEnd"/>
            <w:r w:rsidRPr="00123768">
              <w:rPr>
                <w:rFonts w:ascii="Karla" w:eastAsia="Karla" w:hAnsi="Karla" w:cs="Arial"/>
                <w:sz w:val="14"/>
                <w:szCs w:val="14"/>
              </w:rPr>
              <w:t xml:space="preserve"> GN, </w:t>
            </w:r>
            <w:proofErr w:type="spellStart"/>
            <w:r w:rsidRPr="00123768">
              <w:rPr>
                <w:rFonts w:ascii="Karla" w:eastAsia="Karla" w:hAnsi="Karla" w:cs="Arial"/>
                <w:sz w:val="14"/>
                <w:szCs w:val="14"/>
              </w:rPr>
              <w:t>Lacko</w:t>
            </w:r>
            <w:proofErr w:type="spellEnd"/>
            <w:r w:rsidRPr="00123768">
              <w:rPr>
                <w:rFonts w:ascii="Karla" w:eastAsia="Karla" w:hAnsi="Karla" w:cs="Arial"/>
                <w:sz w:val="14"/>
                <w:szCs w:val="14"/>
              </w:rPr>
              <w:t xml:space="preserve"> A, Sohn J. A phase III trial of adjuvant </w:t>
            </w:r>
            <w:proofErr w:type="spellStart"/>
            <w:r w:rsidRPr="00123768">
              <w:rPr>
                <w:rFonts w:ascii="Karla" w:eastAsia="Karla" w:hAnsi="Karla" w:cs="Arial"/>
                <w:sz w:val="14"/>
                <w:szCs w:val="14"/>
              </w:rPr>
              <w:t>ribociclib</w:t>
            </w:r>
            <w:proofErr w:type="spellEnd"/>
            <w:r w:rsidRPr="00123768">
              <w:rPr>
                <w:rFonts w:ascii="Karla" w:eastAsia="Karla" w:hAnsi="Karla" w:cs="Arial"/>
                <w:sz w:val="14"/>
                <w:szCs w:val="14"/>
              </w:rPr>
              <w:t xml:space="preserve"> plus endocrine therapy versus endocrine therapy alone in patients with HR-positive/HER2-negative early breast cancer: final invasive disease-free survival results from the NATALEE trial. </w:t>
            </w:r>
            <w:r w:rsidRPr="00123768">
              <w:rPr>
                <w:rFonts w:ascii="Karla" w:eastAsia="Karla" w:hAnsi="Karla" w:cs="Arial"/>
                <w:i/>
                <w:iCs/>
                <w:sz w:val="14"/>
                <w:szCs w:val="14"/>
              </w:rPr>
              <w:t xml:space="preserve">Ann Oncol. </w:t>
            </w:r>
            <w:r w:rsidRPr="00123768">
              <w:rPr>
                <w:rFonts w:ascii="Karla" w:eastAsia="Karla" w:hAnsi="Karla" w:cs="Arial"/>
                <w:sz w:val="14"/>
                <w:szCs w:val="14"/>
              </w:rPr>
              <w:t xml:space="preserve">Published online October 21, 2024. </w:t>
            </w:r>
            <w:proofErr w:type="spellStart"/>
            <w:r w:rsidRPr="00123768">
              <w:rPr>
                <w:rFonts w:ascii="Karla" w:eastAsia="Karla" w:hAnsi="Karla" w:cs="Arial"/>
                <w:sz w:val="14"/>
                <w:szCs w:val="14"/>
              </w:rPr>
              <w:t>doi</w:t>
            </w:r>
            <w:proofErr w:type="spellEnd"/>
            <w:r w:rsidRPr="00123768">
              <w:rPr>
                <w:rFonts w:ascii="Karla" w:eastAsia="Karla" w:hAnsi="Karla" w:cs="Arial"/>
                <w:sz w:val="14"/>
                <w:szCs w:val="14"/>
              </w:rPr>
              <w:t>: 10.1016/j.annonc.2024.10.015.</w:t>
            </w:r>
          </w:p>
          <w:p w14:paraId="29FD7235" w14:textId="77777777" w:rsidR="00D54BDA" w:rsidRPr="00123768" w:rsidRDefault="00D54BDA" w:rsidP="00854589">
            <w:pPr>
              <w:numPr>
                <w:ilvl w:val="0"/>
                <w:numId w:val="25"/>
              </w:numPr>
              <w:spacing w:after="0" w:line="240" w:lineRule="auto"/>
              <w:rPr>
                <w:rFonts w:ascii="Karla" w:eastAsia="Gotham Book" w:hAnsi="Karla" w:cs="Arial"/>
                <w:sz w:val="14"/>
                <w:szCs w:val="14"/>
              </w:rPr>
            </w:pPr>
            <w:proofErr w:type="spellStart"/>
            <w:r w:rsidRPr="00123768">
              <w:rPr>
                <w:rFonts w:ascii="Karla" w:eastAsia="Karla" w:hAnsi="Karla" w:cs="Arial"/>
                <w:sz w:val="14"/>
                <w:szCs w:val="14"/>
                <w:lang w:val="fr-FR"/>
              </w:rPr>
              <w:t>Gnant</w:t>
            </w:r>
            <w:proofErr w:type="spellEnd"/>
            <w:r w:rsidRPr="00123768">
              <w:rPr>
                <w:rFonts w:ascii="Karla" w:eastAsia="Karla" w:hAnsi="Karla" w:cs="Arial"/>
                <w:sz w:val="14"/>
                <w:szCs w:val="14"/>
                <w:lang w:val="fr-FR"/>
              </w:rPr>
              <w:t xml:space="preserve"> M, </w:t>
            </w:r>
            <w:proofErr w:type="spellStart"/>
            <w:r w:rsidRPr="00123768">
              <w:rPr>
                <w:rFonts w:ascii="Karla" w:eastAsia="Karla" w:hAnsi="Karla" w:cs="Arial"/>
                <w:sz w:val="14"/>
                <w:szCs w:val="14"/>
                <w:lang w:val="fr-FR"/>
              </w:rPr>
              <w:t>Dueck</w:t>
            </w:r>
            <w:proofErr w:type="spellEnd"/>
            <w:r w:rsidRPr="00123768">
              <w:rPr>
                <w:rFonts w:ascii="Karla" w:eastAsia="Karla" w:hAnsi="Karla" w:cs="Arial"/>
                <w:sz w:val="14"/>
                <w:szCs w:val="14"/>
                <w:lang w:val="fr-FR"/>
              </w:rPr>
              <w:t xml:space="preserve"> AC, </w:t>
            </w:r>
            <w:proofErr w:type="spellStart"/>
            <w:r w:rsidRPr="00123768">
              <w:rPr>
                <w:rFonts w:ascii="Karla" w:eastAsia="Karla" w:hAnsi="Karla" w:cs="Arial"/>
                <w:sz w:val="14"/>
                <w:szCs w:val="14"/>
                <w:lang w:val="fr-FR"/>
              </w:rPr>
              <w:t>Frantal</w:t>
            </w:r>
            <w:proofErr w:type="spellEnd"/>
            <w:r w:rsidRPr="00123768">
              <w:rPr>
                <w:rFonts w:ascii="Karla" w:eastAsia="Karla" w:hAnsi="Karla" w:cs="Arial"/>
                <w:sz w:val="14"/>
                <w:szCs w:val="14"/>
                <w:lang w:val="fr-FR"/>
              </w:rPr>
              <w:t xml:space="preserve"> S, et al. </w:t>
            </w:r>
            <w:r w:rsidRPr="00123768">
              <w:rPr>
                <w:rFonts w:ascii="Karla" w:eastAsia="Karla" w:hAnsi="Karla" w:cs="Arial"/>
                <w:sz w:val="14"/>
                <w:szCs w:val="14"/>
              </w:rPr>
              <w:t xml:space="preserve">Adjuvant palbociclib for early breast cancer: the PALLAS trial results (ABCSG-42/AFT-05/BIG-14-03). </w:t>
            </w:r>
            <w:r w:rsidRPr="00123768">
              <w:rPr>
                <w:rFonts w:ascii="Karla" w:eastAsia="Karla" w:hAnsi="Karla" w:cs="Arial"/>
                <w:i/>
                <w:iCs/>
                <w:sz w:val="14"/>
                <w:szCs w:val="14"/>
              </w:rPr>
              <w:t>J Clin Oncol</w:t>
            </w:r>
            <w:r w:rsidRPr="00123768">
              <w:rPr>
                <w:rFonts w:ascii="Karla" w:eastAsia="Karla" w:hAnsi="Karla" w:cs="Arial"/>
                <w:sz w:val="14"/>
                <w:szCs w:val="14"/>
              </w:rPr>
              <w:t>. 2022;40(3):282-293.</w:t>
            </w:r>
          </w:p>
          <w:p w14:paraId="7B131EE9" w14:textId="77777777" w:rsidR="00D54BDA" w:rsidRPr="00123768" w:rsidRDefault="00D54BDA" w:rsidP="00854589">
            <w:pPr>
              <w:numPr>
                <w:ilvl w:val="0"/>
                <w:numId w:val="25"/>
              </w:numPr>
              <w:spacing w:after="0" w:line="240" w:lineRule="auto"/>
              <w:rPr>
                <w:rFonts w:ascii="Karla" w:eastAsia="Gotham Book" w:hAnsi="Karla" w:cs="Arial"/>
                <w:sz w:val="14"/>
                <w:szCs w:val="14"/>
              </w:rPr>
            </w:pPr>
            <w:r w:rsidRPr="00123768">
              <w:rPr>
                <w:rFonts w:ascii="Karla" w:eastAsia="Karla" w:hAnsi="Karla" w:cs="Arial"/>
                <w:sz w:val="14"/>
                <w:szCs w:val="14"/>
                <w:lang w:val="fr-FR"/>
              </w:rPr>
              <w:t xml:space="preserve">Schmid P, Cortes J, Dent R, et al. </w:t>
            </w:r>
            <w:r w:rsidRPr="00123768">
              <w:rPr>
                <w:rFonts w:ascii="Karla" w:eastAsia="Karla" w:hAnsi="Karla" w:cs="Arial"/>
                <w:sz w:val="14"/>
                <w:szCs w:val="14"/>
              </w:rPr>
              <w:t xml:space="preserve">Event-free survival with pembrolizumab in early triple-negative breast cancer. </w:t>
            </w:r>
            <w:r w:rsidRPr="00123768">
              <w:rPr>
                <w:rFonts w:ascii="Karla" w:eastAsia="Karla" w:hAnsi="Karla" w:cs="Arial"/>
                <w:i/>
                <w:iCs/>
                <w:sz w:val="14"/>
                <w:szCs w:val="14"/>
                <w:lang w:val="fr-FR"/>
              </w:rPr>
              <w:t xml:space="preserve">N </w:t>
            </w:r>
            <w:proofErr w:type="spellStart"/>
            <w:r w:rsidRPr="00123768">
              <w:rPr>
                <w:rFonts w:ascii="Karla" w:eastAsia="Karla" w:hAnsi="Karla" w:cs="Arial"/>
                <w:i/>
                <w:iCs/>
                <w:sz w:val="14"/>
                <w:szCs w:val="14"/>
                <w:lang w:val="fr-FR"/>
              </w:rPr>
              <w:t>Engl</w:t>
            </w:r>
            <w:proofErr w:type="spellEnd"/>
            <w:r w:rsidRPr="00123768">
              <w:rPr>
                <w:rFonts w:ascii="Karla" w:eastAsia="Karla" w:hAnsi="Karla" w:cs="Arial"/>
                <w:i/>
                <w:iCs/>
                <w:sz w:val="14"/>
                <w:szCs w:val="14"/>
                <w:lang w:val="fr-FR"/>
              </w:rPr>
              <w:t xml:space="preserve"> J Med</w:t>
            </w:r>
            <w:r w:rsidRPr="00123768">
              <w:rPr>
                <w:rFonts w:ascii="Karla" w:eastAsia="Karla" w:hAnsi="Karla" w:cs="Arial"/>
                <w:sz w:val="14"/>
                <w:szCs w:val="14"/>
                <w:lang w:val="fr-FR"/>
              </w:rPr>
              <w:t xml:space="preserve">. </w:t>
            </w:r>
            <w:proofErr w:type="gramStart"/>
            <w:r w:rsidRPr="00123768">
              <w:rPr>
                <w:rFonts w:ascii="Karla" w:eastAsia="Karla" w:hAnsi="Karla" w:cs="Arial"/>
                <w:sz w:val="14"/>
                <w:szCs w:val="14"/>
                <w:lang w:val="fr-FR"/>
              </w:rPr>
              <w:t>2022;</w:t>
            </w:r>
            <w:proofErr w:type="gramEnd"/>
            <w:r w:rsidRPr="00123768">
              <w:rPr>
                <w:rFonts w:ascii="Karla" w:eastAsia="Karla" w:hAnsi="Karla" w:cs="Arial"/>
                <w:sz w:val="14"/>
                <w:szCs w:val="14"/>
                <w:lang w:val="fr-FR"/>
              </w:rPr>
              <w:t>386(6):556-567.</w:t>
            </w:r>
          </w:p>
          <w:p w14:paraId="2795D1AC" w14:textId="77777777" w:rsidR="00D54BDA" w:rsidRPr="00123768" w:rsidRDefault="00D54BDA" w:rsidP="00854589">
            <w:pPr>
              <w:numPr>
                <w:ilvl w:val="0"/>
                <w:numId w:val="25"/>
              </w:numPr>
              <w:spacing w:after="0" w:line="240" w:lineRule="auto"/>
              <w:rPr>
                <w:rFonts w:ascii="Karla" w:eastAsia="Gotham Book" w:hAnsi="Karla" w:cs="Arial"/>
                <w:sz w:val="14"/>
                <w:szCs w:val="14"/>
              </w:rPr>
            </w:pPr>
            <w:r w:rsidRPr="00123768">
              <w:rPr>
                <w:rFonts w:ascii="Karla" w:eastAsia="Karla" w:hAnsi="Karla" w:cs="Arial"/>
                <w:sz w:val="14"/>
                <w:szCs w:val="14"/>
              </w:rPr>
              <w:t xml:space="preserve">Rastogi P, O’Shaughnessy J, Martin M, et al. Adjuvant </w:t>
            </w:r>
            <w:proofErr w:type="spellStart"/>
            <w:r w:rsidRPr="00123768">
              <w:rPr>
                <w:rFonts w:ascii="Karla" w:eastAsia="Karla" w:hAnsi="Karla" w:cs="Arial"/>
                <w:sz w:val="14"/>
                <w:szCs w:val="14"/>
              </w:rPr>
              <w:t>abemaciclib</w:t>
            </w:r>
            <w:proofErr w:type="spellEnd"/>
            <w:r w:rsidRPr="00123768">
              <w:rPr>
                <w:rFonts w:ascii="Karla" w:eastAsia="Karla" w:hAnsi="Karla" w:cs="Arial"/>
                <w:sz w:val="14"/>
                <w:szCs w:val="14"/>
              </w:rPr>
              <w:t xml:space="preserve"> plus endocrine therapy for hormone receptor-positive, human epidermal growth factor receptor 2-negative, high-risk early breast cancer: results from a preplanned </w:t>
            </w:r>
            <w:proofErr w:type="spellStart"/>
            <w:r w:rsidRPr="00123768">
              <w:rPr>
                <w:rFonts w:ascii="Karla" w:eastAsia="Karla" w:hAnsi="Karla" w:cs="Arial"/>
                <w:sz w:val="14"/>
                <w:szCs w:val="14"/>
              </w:rPr>
              <w:t>monarchE</w:t>
            </w:r>
            <w:proofErr w:type="spellEnd"/>
            <w:r w:rsidRPr="00123768">
              <w:rPr>
                <w:rFonts w:ascii="Karla" w:eastAsia="Karla" w:hAnsi="Karla" w:cs="Arial"/>
                <w:sz w:val="14"/>
                <w:szCs w:val="14"/>
              </w:rPr>
              <w:t xml:space="preserve"> overall survival interim analysis, including 5-year efficacy outcomes. </w:t>
            </w:r>
            <w:r w:rsidRPr="00123768">
              <w:rPr>
                <w:rFonts w:ascii="Karla" w:eastAsia="Karla" w:hAnsi="Karla" w:cs="Arial"/>
                <w:i/>
                <w:iCs/>
                <w:sz w:val="14"/>
                <w:szCs w:val="14"/>
              </w:rPr>
              <w:t xml:space="preserve">J Clin Oncol. </w:t>
            </w:r>
            <w:proofErr w:type="gramStart"/>
            <w:r w:rsidRPr="00123768">
              <w:rPr>
                <w:rFonts w:ascii="Karla" w:eastAsia="Karla" w:hAnsi="Karla" w:cs="Arial"/>
                <w:sz w:val="14"/>
                <w:szCs w:val="14"/>
              </w:rPr>
              <w:t>2024;42:987</w:t>
            </w:r>
            <w:proofErr w:type="gramEnd"/>
            <w:r w:rsidRPr="00123768">
              <w:rPr>
                <w:rFonts w:ascii="Karla" w:eastAsia="Karla" w:hAnsi="Karla" w:cs="Arial"/>
                <w:sz w:val="14"/>
                <w:szCs w:val="14"/>
              </w:rPr>
              <w:t>-993.</w:t>
            </w:r>
          </w:p>
          <w:p w14:paraId="4CF68309" w14:textId="77777777" w:rsidR="00D54BDA" w:rsidRPr="00123768" w:rsidRDefault="00D54BDA" w:rsidP="00854589">
            <w:pPr>
              <w:numPr>
                <w:ilvl w:val="0"/>
                <w:numId w:val="25"/>
              </w:numPr>
              <w:spacing w:after="0" w:line="240" w:lineRule="auto"/>
              <w:rPr>
                <w:rFonts w:ascii="Karla" w:eastAsia="Gotham Book" w:hAnsi="Karla" w:cs="Arial"/>
                <w:sz w:val="14"/>
                <w:szCs w:val="14"/>
              </w:rPr>
            </w:pPr>
            <w:proofErr w:type="spellStart"/>
            <w:r w:rsidRPr="00123768">
              <w:rPr>
                <w:rFonts w:ascii="Karla" w:eastAsia="Gotham Book" w:hAnsi="Karla" w:cs="Arial"/>
                <w:sz w:val="14"/>
                <w:szCs w:val="14"/>
              </w:rPr>
              <w:t>Talzenna</w:t>
            </w:r>
            <w:proofErr w:type="spellEnd"/>
            <w:r w:rsidRPr="00123768">
              <w:rPr>
                <w:rFonts w:ascii="Karla" w:eastAsia="Gotham Book" w:hAnsi="Karla" w:cs="Arial"/>
                <w:sz w:val="14"/>
                <w:szCs w:val="14"/>
                <w:vertAlign w:val="superscript"/>
              </w:rPr>
              <w:t>®</w:t>
            </w:r>
            <w:r w:rsidRPr="00123768">
              <w:rPr>
                <w:rFonts w:ascii="Karla" w:eastAsia="Gotham Book" w:hAnsi="Karla" w:cs="Arial"/>
                <w:sz w:val="14"/>
                <w:szCs w:val="14"/>
              </w:rPr>
              <w:t xml:space="preserve"> (</w:t>
            </w:r>
            <w:proofErr w:type="spellStart"/>
            <w:r w:rsidRPr="00123768">
              <w:rPr>
                <w:rFonts w:ascii="Karla" w:eastAsia="Gotham Book" w:hAnsi="Karla" w:cs="Arial"/>
                <w:sz w:val="14"/>
                <w:szCs w:val="14"/>
              </w:rPr>
              <w:t>talazoparib</w:t>
            </w:r>
            <w:proofErr w:type="spellEnd"/>
            <w:r w:rsidRPr="00123768">
              <w:rPr>
                <w:rFonts w:ascii="Karla" w:eastAsia="Gotham Book" w:hAnsi="Karla" w:cs="Arial"/>
                <w:sz w:val="14"/>
                <w:szCs w:val="14"/>
              </w:rPr>
              <w:t>) [prescribing information]. New York, NY: Pfizer Inc.; 2024.</w:t>
            </w:r>
          </w:p>
          <w:p w14:paraId="280DC9D0" w14:textId="77777777" w:rsidR="00D54BDA" w:rsidRPr="00123768" w:rsidRDefault="00D54BDA" w:rsidP="00854589">
            <w:pPr>
              <w:numPr>
                <w:ilvl w:val="0"/>
                <w:numId w:val="25"/>
              </w:numPr>
              <w:spacing w:after="0" w:line="240" w:lineRule="auto"/>
              <w:rPr>
                <w:rFonts w:ascii="Karla" w:eastAsia="Gotham Book" w:hAnsi="Karla" w:cs="Arial"/>
                <w:sz w:val="14"/>
                <w:szCs w:val="14"/>
              </w:rPr>
            </w:pPr>
            <w:proofErr w:type="spellStart"/>
            <w:r w:rsidRPr="00123768">
              <w:rPr>
                <w:rFonts w:ascii="Karla" w:eastAsia="Gotham Book" w:hAnsi="Karla" w:cs="Arial"/>
                <w:sz w:val="14"/>
                <w:szCs w:val="14"/>
              </w:rPr>
              <w:t>Zejula</w:t>
            </w:r>
            <w:proofErr w:type="spellEnd"/>
            <w:r w:rsidRPr="00123768">
              <w:rPr>
                <w:rFonts w:ascii="Karla" w:eastAsia="Gotham Book" w:hAnsi="Karla" w:cs="Arial"/>
                <w:sz w:val="14"/>
                <w:szCs w:val="14"/>
                <w:vertAlign w:val="superscript"/>
              </w:rPr>
              <w:t>®</w:t>
            </w:r>
            <w:r w:rsidRPr="00123768">
              <w:rPr>
                <w:rFonts w:ascii="Karla" w:eastAsia="Gotham Book" w:hAnsi="Karla" w:cs="Arial"/>
                <w:sz w:val="14"/>
                <w:szCs w:val="14"/>
              </w:rPr>
              <w:t xml:space="preserve"> (niraparib) [prescribing information]. Research Triangle Park, NC: GlaxoSmithKline; 2024.</w:t>
            </w:r>
          </w:p>
          <w:p w14:paraId="3403E65D" w14:textId="6F3CDC50" w:rsidR="00D54BDA" w:rsidRPr="00123768" w:rsidRDefault="00D54BDA" w:rsidP="00854589">
            <w:pPr>
              <w:numPr>
                <w:ilvl w:val="0"/>
                <w:numId w:val="25"/>
              </w:numPr>
              <w:spacing w:after="0" w:line="240" w:lineRule="auto"/>
              <w:rPr>
                <w:rFonts w:ascii="Karla" w:eastAsia="Gotham Book" w:hAnsi="Karla" w:cs="Arial"/>
                <w:sz w:val="14"/>
                <w:szCs w:val="14"/>
              </w:rPr>
            </w:pPr>
            <w:proofErr w:type="spellStart"/>
            <w:r w:rsidRPr="00123768">
              <w:rPr>
                <w:rFonts w:ascii="Karla" w:eastAsia="Gotham Book" w:hAnsi="Karla" w:cs="Arial"/>
                <w:sz w:val="14"/>
                <w:szCs w:val="14"/>
              </w:rPr>
              <w:t>Rubraca</w:t>
            </w:r>
            <w:proofErr w:type="spellEnd"/>
            <w:r w:rsidRPr="00123768">
              <w:rPr>
                <w:rFonts w:ascii="Karla" w:eastAsia="Gotham Book" w:hAnsi="Karla" w:cs="Arial"/>
                <w:sz w:val="14"/>
                <w:szCs w:val="14"/>
                <w:vertAlign w:val="superscript"/>
              </w:rPr>
              <w:t>®</w:t>
            </w:r>
            <w:r w:rsidRPr="00123768">
              <w:rPr>
                <w:rFonts w:ascii="Karla" w:eastAsia="Gotham Book" w:hAnsi="Karla" w:cs="Arial"/>
                <w:sz w:val="14"/>
                <w:szCs w:val="14"/>
              </w:rPr>
              <w:t xml:space="preserve"> (rucaparib) [prescribing information]. Vienna, Austria: </w:t>
            </w:r>
            <w:proofErr w:type="spellStart"/>
            <w:r w:rsidRPr="00123768">
              <w:rPr>
                <w:rFonts w:ascii="Karla" w:eastAsia="Gotham Book" w:hAnsi="Karla" w:cs="Arial"/>
                <w:sz w:val="14"/>
                <w:szCs w:val="14"/>
              </w:rPr>
              <w:t>zr</w:t>
            </w:r>
            <w:proofErr w:type="spellEnd"/>
            <w:r w:rsidRPr="00123768">
              <w:rPr>
                <w:rFonts w:ascii="Karla" w:eastAsia="Gotham Book" w:hAnsi="Karla" w:cs="Arial"/>
                <w:sz w:val="14"/>
                <w:szCs w:val="14"/>
              </w:rPr>
              <w:t xml:space="preserve"> pharma&amp; GmbH; 202</w:t>
            </w:r>
            <w:r>
              <w:rPr>
                <w:rFonts w:ascii="Karla" w:eastAsia="Gotham Book" w:hAnsi="Karla" w:cs="Arial"/>
                <w:sz w:val="14"/>
                <w:szCs w:val="14"/>
              </w:rPr>
              <w:t>4</w:t>
            </w:r>
            <w:r w:rsidRPr="00123768">
              <w:rPr>
                <w:rFonts w:ascii="Karla" w:eastAsia="Gotham Book" w:hAnsi="Karla" w:cs="Arial"/>
                <w:sz w:val="14"/>
                <w:szCs w:val="14"/>
              </w:rPr>
              <w:t>.</w:t>
            </w:r>
          </w:p>
          <w:p w14:paraId="24AF4F8C" w14:textId="77777777" w:rsidR="00D54BDA" w:rsidRPr="00123768" w:rsidRDefault="00D54BDA" w:rsidP="00854589">
            <w:pPr>
              <w:numPr>
                <w:ilvl w:val="0"/>
                <w:numId w:val="25"/>
              </w:numPr>
              <w:spacing w:after="0" w:line="240" w:lineRule="auto"/>
              <w:contextualSpacing/>
              <w:rPr>
                <w:rFonts w:ascii="Karla" w:eastAsia="Gotham Book" w:hAnsi="Karla" w:cs="Arial"/>
                <w:sz w:val="14"/>
                <w:szCs w:val="14"/>
              </w:rPr>
            </w:pPr>
            <w:r w:rsidRPr="00123768">
              <w:rPr>
                <w:rFonts w:ascii="Karla" w:eastAsia="Gotham Book" w:hAnsi="Karla" w:cs="Karla"/>
                <w:color w:val="041726"/>
                <w:sz w:val="14"/>
                <w:szCs w:val="14"/>
              </w:rPr>
              <w:t>Keytruda</w:t>
            </w:r>
            <w:r w:rsidRPr="00123768">
              <w:rPr>
                <w:rFonts w:ascii="Karla" w:eastAsia="Gotham Book" w:hAnsi="Karla" w:cs="Karla"/>
                <w:color w:val="041726"/>
                <w:sz w:val="14"/>
                <w:szCs w:val="14"/>
                <w:vertAlign w:val="superscript"/>
              </w:rPr>
              <w:t>®</w:t>
            </w:r>
            <w:r w:rsidRPr="00123768">
              <w:rPr>
                <w:rFonts w:ascii="Karla" w:eastAsia="Gotham Book" w:hAnsi="Karla" w:cs="Karla"/>
                <w:color w:val="041726"/>
                <w:sz w:val="14"/>
                <w:szCs w:val="14"/>
              </w:rPr>
              <w:t xml:space="preserve"> (pembrolizumab) [prescribing information]. Rahway, NJ: Merck &amp; Co., Inc.; 2024. </w:t>
            </w:r>
          </w:p>
          <w:p w14:paraId="748B85E6" w14:textId="77777777" w:rsidR="00D54BDA" w:rsidRPr="00123768" w:rsidRDefault="00D54BDA" w:rsidP="00854589">
            <w:pPr>
              <w:numPr>
                <w:ilvl w:val="0"/>
                <w:numId w:val="25"/>
              </w:numPr>
              <w:spacing w:after="0" w:line="240" w:lineRule="auto"/>
              <w:rPr>
                <w:rFonts w:ascii="Karla" w:eastAsia="Gotham Book" w:hAnsi="Karla" w:cs="Arial"/>
                <w:sz w:val="14"/>
                <w:szCs w:val="14"/>
              </w:rPr>
            </w:pPr>
            <w:proofErr w:type="spellStart"/>
            <w:r w:rsidRPr="00123768">
              <w:rPr>
                <w:rFonts w:ascii="Karla" w:eastAsia="Gotham Book" w:hAnsi="Karla" w:cs="Karla"/>
                <w:color w:val="041726"/>
                <w:sz w:val="14"/>
                <w:szCs w:val="14"/>
              </w:rPr>
              <w:t>Verzenio</w:t>
            </w:r>
            <w:proofErr w:type="spellEnd"/>
            <w:r w:rsidRPr="00123768">
              <w:rPr>
                <w:rFonts w:ascii="Karla" w:eastAsia="Gotham Book" w:hAnsi="Karla" w:cs="Karla"/>
                <w:color w:val="041726"/>
                <w:sz w:val="14"/>
                <w:szCs w:val="14"/>
                <w:vertAlign w:val="superscript"/>
              </w:rPr>
              <w:t>®</w:t>
            </w:r>
            <w:r w:rsidRPr="00123768">
              <w:rPr>
                <w:rFonts w:ascii="Karla" w:eastAsia="Gotham Book" w:hAnsi="Karla" w:cs="Karla"/>
                <w:color w:val="041726"/>
                <w:sz w:val="14"/>
                <w:szCs w:val="14"/>
              </w:rPr>
              <w:t xml:space="preserve"> (</w:t>
            </w:r>
            <w:proofErr w:type="spellStart"/>
            <w:r w:rsidRPr="00123768">
              <w:rPr>
                <w:rFonts w:ascii="Karla" w:eastAsia="Gotham Book" w:hAnsi="Karla" w:cs="Karla"/>
                <w:color w:val="041726"/>
                <w:sz w:val="14"/>
                <w:szCs w:val="14"/>
              </w:rPr>
              <w:t>abemaciclib</w:t>
            </w:r>
            <w:proofErr w:type="spellEnd"/>
            <w:r w:rsidRPr="00123768">
              <w:rPr>
                <w:rFonts w:ascii="Karla" w:eastAsia="Gotham Book" w:hAnsi="Karla" w:cs="Karla"/>
                <w:color w:val="041726"/>
                <w:sz w:val="14"/>
                <w:szCs w:val="14"/>
              </w:rPr>
              <w:t>) [prescribing information]. Indianapolis, IN: Eli Lilly and Company; 2024.</w:t>
            </w:r>
          </w:p>
          <w:p w14:paraId="554FD1C9" w14:textId="77777777" w:rsidR="00D54BDA" w:rsidRPr="00123768" w:rsidRDefault="00D54BDA" w:rsidP="00854589">
            <w:pPr>
              <w:widowControl w:val="0"/>
              <w:numPr>
                <w:ilvl w:val="0"/>
                <w:numId w:val="25"/>
              </w:numPr>
              <w:autoSpaceDE w:val="0"/>
              <w:autoSpaceDN w:val="0"/>
              <w:spacing w:after="0" w:line="240" w:lineRule="auto"/>
              <w:rPr>
                <w:rFonts w:ascii="Karla" w:eastAsia="Gotham Book" w:hAnsi="Karla" w:cs="Arial"/>
                <w:sz w:val="14"/>
                <w:szCs w:val="14"/>
              </w:rPr>
            </w:pPr>
            <w:r w:rsidRPr="00123768">
              <w:rPr>
                <w:rFonts w:ascii="Karla" w:eastAsia="Gotham Book" w:hAnsi="Karla" w:cs="Arial"/>
                <w:sz w:val="14"/>
                <w:szCs w:val="14"/>
              </w:rPr>
              <w:t xml:space="preserve">US Food and Drug Administration (FDA). FDA approves </w:t>
            </w:r>
            <w:proofErr w:type="spellStart"/>
            <w:r w:rsidRPr="00123768">
              <w:rPr>
                <w:rFonts w:ascii="Karla" w:eastAsia="Gotham Book" w:hAnsi="Karla" w:cs="Arial"/>
                <w:sz w:val="14"/>
                <w:szCs w:val="14"/>
              </w:rPr>
              <w:t>olaparib</w:t>
            </w:r>
            <w:proofErr w:type="spellEnd"/>
            <w:r w:rsidRPr="00123768">
              <w:rPr>
                <w:rFonts w:ascii="Karla" w:eastAsia="Gotham Book" w:hAnsi="Karla" w:cs="Arial"/>
                <w:sz w:val="14"/>
                <w:szCs w:val="14"/>
              </w:rPr>
              <w:t xml:space="preserve"> for adjuvant treatment of high-risk early breast cancer. March 11, 2022. Available at: https://www.fda.gov/drugs/resources-information-approved-drugs/fda-approves-olaparib-adjuvant-treatment-high-risk-early-breast-cancer.</w:t>
            </w:r>
          </w:p>
          <w:p w14:paraId="722FED33" w14:textId="77777777" w:rsidR="00D54BDA" w:rsidRPr="00123768" w:rsidRDefault="00D54BDA" w:rsidP="00854589">
            <w:pPr>
              <w:numPr>
                <w:ilvl w:val="0"/>
                <w:numId w:val="25"/>
              </w:numPr>
              <w:spacing w:after="0" w:line="240" w:lineRule="auto"/>
              <w:contextualSpacing/>
              <w:rPr>
                <w:rFonts w:ascii="Karla" w:eastAsia="Gotham Book" w:hAnsi="Karla" w:cs="Arial"/>
                <w:sz w:val="14"/>
                <w:szCs w:val="14"/>
              </w:rPr>
            </w:pPr>
            <w:proofErr w:type="spellStart"/>
            <w:r w:rsidRPr="00123768">
              <w:rPr>
                <w:rFonts w:ascii="Karla" w:eastAsia="Gotham Book" w:hAnsi="Karla" w:cs="Arial"/>
                <w:sz w:val="14"/>
                <w:szCs w:val="14"/>
              </w:rPr>
              <w:t>Hortobagyi</w:t>
            </w:r>
            <w:proofErr w:type="spellEnd"/>
            <w:r w:rsidRPr="00123768">
              <w:rPr>
                <w:rFonts w:ascii="Karla" w:eastAsia="Gotham Book" w:hAnsi="Karla" w:cs="Arial"/>
                <w:sz w:val="14"/>
                <w:szCs w:val="14"/>
              </w:rPr>
              <w:t xml:space="preserve"> GN. The curability of breast cancer: present and future. </w:t>
            </w:r>
            <w:r w:rsidRPr="00123768">
              <w:rPr>
                <w:rFonts w:ascii="Karla" w:eastAsia="Gotham Book" w:hAnsi="Karla" w:cs="Arial"/>
                <w:i/>
                <w:iCs/>
                <w:sz w:val="14"/>
                <w:szCs w:val="14"/>
              </w:rPr>
              <w:t>EJC Supplements</w:t>
            </w:r>
            <w:r w:rsidRPr="00123768">
              <w:rPr>
                <w:rFonts w:ascii="Karla" w:eastAsia="Gotham Book" w:hAnsi="Karla" w:cs="Arial"/>
                <w:sz w:val="14"/>
                <w:szCs w:val="14"/>
              </w:rPr>
              <w:t>. 2003;1(1):24-34.</w:t>
            </w:r>
          </w:p>
          <w:p w14:paraId="5908AE28" w14:textId="77777777" w:rsidR="00D54BDA" w:rsidRPr="00123768" w:rsidRDefault="00D54BDA" w:rsidP="00854589">
            <w:pPr>
              <w:numPr>
                <w:ilvl w:val="0"/>
                <w:numId w:val="25"/>
              </w:numPr>
              <w:spacing w:after="0" w:line="240" w:lineRule="auto"/>
              <w:contextualSpacing/>
              <w:rPr>
                <w:rFonts w:ascii="Karla" w:eastAsia="Gotham Book" w:hAnsi="Karla" w:cs="Arial"/>
                <w:sz w:val="14"/>
                <w:szCs w:val="14"/>
              </w:rPr>
            </w:pPr>
            <w:r w:rsidRPr="00123768">
              <w:rPr>
                <w:rFonts w:ascii="Karla" w:eastAsia="Gotham Book" w:hAnsi="Karla" w:cs="Gotham Book"/>
                <w:color w:val="212121"/>
                <w:sz w:val="14"/>
                <w:szCs w:val="14"/>
                <w:shd w:val="clear" w:color="auto" w:fill="FFFFFF"/>
              </w:rPr>
              <w:t xml:space="preserve">Bedrosian I, Somerfield MR, Achatz MI, et al. Germline testing in patients with breast cancer: ASCO–Society of Surgical Oncology Guideline. </w:t>
            </w:r>
            <w:r w:rsidRPr="00123768">
              <w:rPr>
                <w:rFonts w:ascii="Karla" w:eastAsia="Gotham Book" w:hAnsi="Karla" w:cs="Gotham Book"/>
                <w:i/>
                <w:iCs/>
                <w:color w:val="212121"/>
                <w:sz w:val="14"/>
                <w:szCs w:val="14"/>
                <w:shd w:val="clear" w:color="auto" w:fill="FFFFFF"/>
              </w:rPr>
              <w:t>J Clin Oncol</w:t>
            </w:r>
            <w:r w:rsidRPr="00123768">
              <w:rPr>
                <w:rFonts w:ascii="Karla" w:eastAsia="Gotham Book" w:hAnsi="Karla" w:cs="Gotham Book"/>
                <w:color w:val="212121"/>
                <w:sz w:val="14"/>
                <w:szCs w:val="14"/>
                <w:shd w:val="clear" w:color="auto" w:fill="FFFFFF"/>
              </w:rPr>
              <w:t xml:space="preserve">. 2024;42(5):584-604. </w:t>
            </w:r>
          </w:p>
          <w:p w14:paraId="6E27E689" w14:textId="77777777" w:rsidR="00D54BDA" w:rsidRPr="00DE7538" w:rsidRDefault="00D54BDA" w:rsidP="00854589">
            <w:pPr>
              <w:pStyle w:val="ListParagraph"/>
              <w:widowControl/>
              <w:numPr>
                <w:ilvl w:val="0"/>
                <w:numId w:val="25"/>
              </w:numPr>
              <w:autoSpaceDE/>
              <w:autoSpaceDN/>
              <w:contextualSpacing/>
              <w:rPr>
                <w:rFonts w:asciiTheme="majorHAnsi" w:hAnsiTheme="majorHAnsi"/>
                <w:color w:val="212121"/>
                <w:sz w:val="14"/>
                <w:szCs w:val="13"/>
                <w:shd w:val="clear" w:color="auto" w:fill="FFFFFF"/>
              </w:rPr>
            </w:pPr>
            <w:r w:rsidRPr="00DE7538">
              <w:rPr>
                <w:rFonts w:asciiTheme="majorHAnsi" w:hAnsiTheme="majorHAnsi"/>
                <w:color w:val="212121"/>
                <w:sz w:val="14"/>
                <w:szCs w:val="13"/>
                <w:shd w:val="clear" w:color="auto" w:fill="FFFFFF"/>
              </w:rPr>
              <w:t xml:space="preserve">Fasching PA, Link T, </w:t>
            </w:r>
            <w:proofErr w:type="spellStart"/>
            <w:r w:rsidRPr="00DE7538">
              <w:rPr>
                <w:rFonts w:asciiTheme="majorHAnsi" w:hAnsiTheme="majorHAnsi"/>
                <w:color w:val="212121"/>
                <w:sz w:val="14"/>
                <w:szCs w:val="13"/>
                <w:shd w:val="clear" w:color="auto" w:fill="FFFFFF"/>
              </w:rPr>
              <w:t>Hauke</w:t>
            </w:r>
            <w:proofErr w:type="spellEnd"/>
            <w:r w:rsidRPr="00DE7538">
              <w:rPr>
                <w:rFonts w:asciiTheme="majorHAnsi" w:hAnsiTheme="majorHAnsi"/>
                <w:color w:val="212121"/>
                <w:sz w:val="14"/>
                <w:szCs w:val="13"/>
                <w:shd w:val="clear" w:color="auto" w:fill="FFFFFF"/>
              </w:rPr>
              <w:t xml:space="preserve"> J, et al. Neoadjuvant paclitaxel/</w:t>
            </w:r>
            <w:proofErr w:type="spellStart"/>
            <w:r w:rsidRPr="00DE7538">
              <w:rPr>
                <w:rFonts w:asciiTheme="majorHAnsi" w:hAnsiTheme="majorHAnsi"/>
                <w:color w:val="212121"/>
                <w:sz w:val="14"/>
                <w:szCs w:val="13"/>
                <w:shd w:val="clear" w:color="auto" w:fill="FFFFFF"/>
              </w:rPr>
              <w:t>olaparib</w:t>
            </w:r>
            <w:proofErr w:type="spellEnd"/>
            <w:r w:rsidRPr="00DE7538">
              <w:rPr>
                <w:rFonts w:asciiTheme="majorHAnsi" w:hAnsiTheme="majorHAnsi"/>
                <w:color w:val="212121"/>
                <w:sz w:val="14"/>
                <w:szCs w:val="13"/>
                <w:shd w:val="clear" w:color="auto" w:fill="FFFFFF"/>
              </w:rPr>
              <w:t xml:space="preserve"> in comparison to paclitaxel/</w:t>
            </w:r>
            <w:proofErr w:type="spellStart"/>
            <w:r w:rsidRPr="00DE7538">
              <w:rPr>
                <w:rFonts w:asciiTheme="majorHAnsi" w:hAnsiTheme="majorHAnsi"/>
                <w:color w:val="212121"/>
                <w:sz w:val="14"/>
                <w:szCs w:val="13"/>
                <w:shd w:val="clear" w:color="auto" w:fill="FFFFFF"/>
              </w:rPr>
              <w:t>carboplatinum</w:t>
            </w:r>
            <w:proofErr w:type="spellEnd"/>
            <w:r w:rsidRPr="00DE7538">
              <w:rPr>
                <w:rFonts w:asciiTheme="majorHAnsi" w:hAnsiTheme="majorHAnsi"/>
                <w:color w:val="212121"/>
                <w:sz w:val="14"/>
                <w:szCs w:val="13"/>
                <w:shd w:val="clear" w:color="auto" w:fill="FFFFFF"/>
              </w:rPr>
              <w:t xml:space="preserve"> in patients with HER2-negative breast cancer and homologous recombination deficiency (</w:t>
            </w:r>
            <w:proofErr w:type="spellStart"/>
            <w:r w:rsidRPr="00DE7538">
              <w:rPr>
                <w:rFonts w:asciiTheme="majorHAnsi" w:hAnsiTheme="majorHAnsi"/>
                <w:color w:val="212121"/>
                <w:sz w:val="14"/>
                <w:szCs w:val="13"/>
                <w:shd w:val="clear" w:color="auto" w:fill="FFFFFF"/>
              </w:rPr>
              <w:t>GeparOLA</w:t>
            </w:r>
            <w:proofErr w:type="spellEnd"/>
            <w:r w:rsidRPr="00DE7538">
              <w:rPr>
                <w:rFonts w:asciiTheme="majorHAnsi" w:hAnsiTheme="majorHAnsi"/>
                <w:color w:val="212121"/>
                <w:sz w:val="14"/>
                <w:szCs w:val="13"/>
                <w:shd w:val="clear" w:color="auto" w:fill="FFFFFF"/>
              </w:rPr>
              <w:t xml:space="preserve"> study). </w:t>
            </w:r>
            <w:r w:rsidRPr="00DE7538">
              <w:rPr>
                <w:rFonts w:asciiTheme="majorHAnsi" w:hAnsiTheme="majorHAnsi"/>
                <w:i/>
                <w:iCs/>
                <w:color w:val="212121"/>
                <w:sz w:val="14"/>
                <w:szCs w:val="13"/>
                <w:shd w:val="clear" w:color="auto" w:fill="FFFFFF"/>
              </w:rPr>
              <w:t>Ann Oncol</w:t>
            </w:r>
            <w:r w:rsidRPr="00DE7538">
              <w:rPr>
                <w:rFonts w:asciiTheme="majorHAnsi" w:hAnsiTheme="majorHAnsi"/>
                <w:color w:val="212121"/>
                <w:sz w:val="14"/>
                <w:szCs w:val="13"/>
                <w:shd w:val="clear" w:color="auto" w:fill="FFFFFF"/>
              </w:rPr>
              <w:t>. 2021;32(1):49–</w:t>
            </w:r>
            <w:proofErr w:type="gramStart"/>
            <w:r w:rsidRPr="00DE7538">
              <w:rPr>
                <w:rFonts w:asciiTheme="majorHAnsi" w:hAnsiTheme="majorHAnsi"/>
                <w:color w:val="212121"/>
                <w:sz w:val="14"/>
                <w:szCs w:val="13"/>
                <w:shd w:val="clear" w:color="auto" w:fill="FFFFFF"/>
              </w:rPr>
              <w:t>57 .</w:t>
            </w:r>
            <w:proofErr w:type="gramEnd"/>
          </w:p>
          <w:p w14:paraId="67A9B417" w14:textId="77777777" w:rsidR="00D54BDA" w:rsidRPr="00DE7538" w:rsidRDefault="00D54BDA" w:rsidP="00854589">
            <w:pPr>
              <w:pStyle w:val="ListParagraph"/>
              <w:widowControl/>
              <w:numPr>
                <w:ilvl w:val="0"/>
                <w:numId w:val="25"/>
              </w:numPr>
              <w:autoSpaceDE/>
              <w:autoSpaceDN/>
              <w:rPr>
                <w:rFonts w:asciiTheme="majorHAnsi" w:hAnsiTheme="majorHAnsi" w:cs="Arial"/>
                <w:sz w:val="14"/>
                <w:szCs w:val="14"/>
              </w:rPr>
            </w:pPr>
            <w:proofErr w:type="spellStart"/>
            <w:r w:rsidRPr="00DE7538">
              <w:rPr>
                <w:rFonts w:asciiTheme="majorHAnsi" w:hAnsiTheme="majorHAnsi" w:cs="Arial"/>
                <w:sz w:val="14"/>
                <w:szCs w:val="14"/>
                <w:lang w:val="fr-FR"/>
              </w:rPr>
              <w:t>Pusztai</w:t>
            </w:r>
            <w:proofErr w:type="spellEnd"/>
            <w:r w:rsidRPr="00DE7538">
              <w:rPr>
                <w:rFonts w:asciiTheme="majorHAnsi" w:hAnsiTheme="majorHAnsi" w:cs="Arial"/>
                <w:sz w:val="14"/>
                <w:szCs w:val="14"/>
                <w:lang w:val="fr-FR"/>
              </w:rPr>
              <w:t xml:space="preserve"> L, </w:t>
            </w:r>
            <w:proofErr w:type="spellStart"/>
            <w:r w:rsidRPr="00DE7538">
              <w:rPr>
                <w:rFonts w:asciiTheme="majorHAnsi" w:hAnsiTheme="majorHAnsi" w:cs="Arial"/>
                <w:sz w:val="14"/>
                <w:szCs w:val="14"/>
                <w:lang w:val="fr-FR"/>
              </w:rPr>
              <w:t>Yau</w:t>
            </w:r>
            <w:proofErr w:type="spellEnd"/>
            <w:r w:rsidRPr="00DE7538">
              <w:rPr>
                <w:rFonts w:asciiTheme="majorHAnsi" w:hAnsiTheme="majorHAnsi" w:cs="Arial"/>
                <w:sz w:val="14"/>
                <w:szCs w:val="14"/>
                <w:lang w:val="fr-FR"/>
              </w:rPr>
              <w:t xml:space="preserve"> C, Wolf DM, et al. </w:t>
            </w:r>
            <w:r w:rsidRPr="00DE7538">
              <w:rPr>
                <w:rFonts w:asciiTheme="majorHAnsi" w:hAnsiTheme="majorHAnsi" w:cs="Arial"/>
                <w:sz w:val="14"/>
                <w:szCs w:val="14"/>
              </w:rPr>
              <w:t xml:space="preserve">Durvalumab with </w:t>
            </w:r>
            <w:proofErr w:type="spellStart"/>
            <w:r w:rsidRPr="00DE7538">
              <w:rPr>
                <w:rFonts w:asciiTheme="majorHAnsi" w:hAnsiTheme="majorHAnsi" w:cs="Arial"/>
                <w:sz w:val="14"/>
                <w:szCs w:val="14"/>
              </w:rPr>
              <w:t>olaparib</w:t>
            </w:r>
            <w:proofErr w:type="spellEnd"/>
            <w:r w:rsidRPr="00DE7538">
              <w:rPr>
                <w:rFonts w:asciiTheme="majorHAnsi" w:hAnsiTheme="majorHAnsi" w:cs="Arial"/>
                <w:sz w:val="14"/>
                <w:szCs w:val="14"/>
              </w:rPr>
              <w:t xml:space="preserve"> and paclitaxel for high-risk HER2-negative stage II/III breast cancer: results from the adaptively randomized I-SPY2 trial. </w:t>
            </w:r>
            <w:r w:rsidRPr="00DE7538">
              <w:rPr>
                <w:rFonts w:asciiTheme="majorHAnsi" w:hAnsiTheme="majorHAnsi" w:cs="Arial"/>
                <w:i/>
                <w:iCs/>
                <w:sz w:val="14"/>
                <w:szCs w:val="14"/>
              </w:rPr>
              <w:t>Cancer Cell</w:t>
            </w:r>
            <w:r w:rsidRPr="00DE7538">
              <w:rPr>
                <w:rFonts w:asciiTheme="majorHAnsi" w:hAnsiTheme="majorHAnsi" w:cs="Arial"/>
                <w:sz w:val="14"/>
                <w:szCs w:val="14"/>
              </w:rPr>
              <w:t>. 2021;39(7):989–998 e</w:t>
            </w:r>
            <w:proofErr w:type="gramStart"/>
            <w:r w:rsidRPr="00DE7538">
              <w:rPr>
                <w:rFonts w:asciiTheme="majorHAnsi" w:hAnsiTheme="majorHAnsi" w:cs="Arial"/>
                <w:sz w:val="14"/>
                <w:szCs w:val="14"/>
              </w:rPr>
              <w:t>5 .</w:t>
            </w:r>
            <w:proofErr w:type="gramEnd"/>
          </w:p>
          <w:p w14:paraId="4918A81A" w14:textId="77777777" w:rsidR="00D54BDA" w:rsidRPr="00DE7538" w:rsidRDefault="00D54BDA" w:rsidP="00854589">
            <w:pPr>
              <w:pStyle w:val="ListParagraph"/>
              <w:widowControl/>
              <w:numPr>
                <w:ilvl w:val="0"/>
                <w:numId w:val="25"/>
              </w:numPr>
              <w:autoSpaceDE/>
              <w:autoSpaceDN/>
              <w:rPr>
                <w:rFonts w:asciiTheme="majorHAnsi" w:hAnsiTheme="majorHAnsi" w:cs="Arial"/>
                <w:sz w:val="14"/>
                <w:szCs w:val="14"/>
              </w:rPr>
            </w:pPr>
            <w:proofErr w:type="spellStart"/>
            <w:r w:rsidRPr="00DE7538">
              <w:rPr>
                <w:rFonts w:asciiTheme="majorHAnsi" w:hAnsiTheme="majorHAnsi" w:cs="Arial"/>
                <w:sz w:val="14"/>
                <w:szCs w:val="14"/>
                <w:lang w:val="fr-FR"/>
              </w:rPr>
              <w:t>Tung</w:t>
            </w:r>
            <w:proofErr w:type="spellEnd"/>
            <w:r w:rsidRPr="00DE7538">
              <w:rPr>
                <w:rFonts w:asciiTheme="majorHAnsi" w:hAnsiTheme="majorHAnsi" w:cs="Arial"/>
                <w:sz w:val="14"/>
                <w:szCs w:val="14"/>
                <w:lang w:val="fr-FR"/>
              </w:rPr>
              <w:t xml:space="preserve"> NM, Robson ME, </w:t>
            </w:r>
            <w:proofErr w:type="spellStart"/>
            <w:r w:rsidRPr="00DE7538">
              <w:rPr>
                <w:rFonts w:asciiTheme="majorHAnsi" w:hAnsiTheme="majorHAnsi" w:cs="Arial"/>
                <w:sz w:val="14"/>
                <w:szCs w:val="14"/>
                <w:lang w:val="fr-FR"/>
              </w:rPr>
              <w:t>Ventz</w:t>
            </w:r>
            <w:proofErr w:type="spellEnd"/>
            <w:r w:rsidRPr="00DE7538">
              <w:rPr>
                <w:rFonts w:asciiTheme="majorHAnsi" w:hAnsiTheme="majorHAnsi" w:cs="Arial"/>
                <w:sz w:val="14"/>
                <w:szCs w:val="14"/>
                <w:lang w:val="fr-FR"/>
              </w:rPr>
              <w:t xml:space="preserve"> S, et al. </w:t>
            </w:r>
            <w:r w:rsidRPr="00DE7538">
              <w:rPr>
                <w:rFonts w:asciiTheme="majorHAnsi" w:hAnsiTheme="majorHAnsi" w:cs="Arial"/>
                <w:sz w:val="14"/>
                <w:szCs w:val="14"/>
              </w:rPr>
              <w:t xml:space="preserve">TBCRC 048: Phase II study of </w:t>
            </w:r>
            <w:proofErr w:type="spellStart"/>
            <w:r w:rsidRPr="00DE7538">
              <w:rPr>
                <w:rFonts w:asciiTheme="majorHAnsi" w:hAnsiTheme="majorHAnsi" w:cs="Arial"/>
                <w:sz w:val="14"/>
                <w:szCs w:val="14"/>
              </w:rPr>
              <w:t>olaparib</w:t>
            </w:r>
            <w:proofErr w:type="spellEnd"/>
            <w:r w:rsidRPr="00DE7538">
              <w:rPr>
                <w:rFonts w:asciiTheme="majorHAnsi" w:hAnsiTheme="majorHAnsi" w:cs="Arial"/>
                <w:sz w:val="14"/>
                <w:szCs w:val="14"/>
              </w:rPr>
              <w:t xml:space="preserve"> for metastatic breast cancer and mutations in homologous recombination-related genes. </w:t>
            </w:r>
            <w:r w:rsidRPr="00DE7538">
              <w:rPr>
                <w:rFonts w:asciiTheme="majorHAnsi" w:hAnsiTheme="majorHAnsi" w:cs="Arial"/>
                <w:i/>
                <w:iCs/>
                <w:sz w:val="14"/>
                <w:szCs w:val="14"/>
              </w:rPr>
              <w:t>J Clin Oncol</w:t>
            </w:r>
            <w:r w:rsidRPr="00DE7538">
              <w:rPr>
                <w:rFonts w:asciiTheme="majorHAnsi" w:hAnsiTheme="majorHAnsi" w:cs="Arial"/>
                <w:sz w:val="14"/>
                <w:szCs w:val="14"/>
              </w:rPr>
              <w:t xml:space="preserve">. </w:t>
            </w:r>
            <w:proofErr w:type="gramStart"/>
            <w:r w:rsidRPr="00DE7538">
              <w:rPr>
                <w:rFonts w:asciiTheme="majorHAnsi" w:hAnsiTheme="majorHAnsi" w:cs="Arial"/>
                <w:sz w:val="14"/>
                <w:szCs w:val="14"/>
              </w:rPr>
              <w:t>2020;38:4274</w:t>
            </w:r>
            <w:proofErr w:type="gramEnd"/>
            <w:r w:rsidRPr="00DE7538">
              <w:rPr>
                <w:rFonts w:asciiTheme="majorHAnsi" w:hAnsiTheme="majorHAnsi" w:cs="Arial"/>
                <w:sz w:val="14"/>
                <w:szCs w:val="14"/>
              </w:rPr>
              <w:t>-4282.</w:t>
            </w:r>
          </w:p>
          <w:p w14:paraId="5D300A16" w14:textId="77777777" w:rsidR="00D54BDA" w:rsidRPr="00DE7538" w:rsidRDefault="00D54BDA" w:rsidP="00854589">
            <w:pPr>
              <w:pStyle w:val="ListParagraph"/>
              <w:widowControl/>
              <w:numPr>
                <w:ilvl w:val="0"/>
                <w:numId w:val="25"/>
              </w:numPr>
              <w:autoSpaceDE/>
              <w:autoSpaceDN/>
              <w:contextualSpacing/>
              <w:rPr>
                <w:rFonts w:asciiTheme="majorHAnsi" w:hAnsiTheme="majorHAnsi" w:cs="Arial"/>
                <w:sz w:val="14"/>
                <w:szCs w:val="14"/>
              </w:rPr>
            </w:pPr>
            <w:r w:rsidRPr="00DE7538">
              <w:rPr>
                <w:rFonts w:asciiTheme="majorHAnsi" w:hAnsiTheme="majorHAnsi"/>
                <w:color w:val="212121"/>
                <w:sz w:val="14"/>
                <w:szCs w:val="13"/>
                <w:shd w:val="clear" w:color="auto" w:fill="FFFFFF"/>
              </w:rPr>
              <w:t xml:space="preserve">Culver JO, Freiberg Y, Ricker C, et al. Integration of universal germline genetic testing for all new breast cancer patients. </w:t>
            </w:r>
            <w:r w:rsidRPr="00DE7538">
              <w:rPr>
                <w:rFonts w:asciiTheme="majorHAnsi" w:hAnsiTheme="majorHAnsi"/>
                <w:i/>
                <w:iCs/>
                <w:color w:val="212121"/>
                <w:sz w:val="14"/>
                <w:szCs w:val="13"/>
                <w:shd w:val="clear" w:color="auto" w:fill="FFFFFF"/>
              </w:rPr>
              <w:t>Ann Surg Oncol</w:t>
            </w:r>
            <w:r w:rsidRPr="00DE7538">
              <w:rPr>
                <w:rFonts w:asciiTheme="majorHAnsi" w:hAnsiTheme="majorHAnsi"/>
                <w:color w:val="212121"/>
                <w:sz w:val="14"/>
                <w:szCs w:val="13"/>
                <w:shd w:val="clear" w:color="auto" w:fill="FFFFFF"/>
              </w:rPr>
              <w:t>. 202;30(2):1017-1025.</w:t>
            </w:r>
          </w:p>
          <w:p w14:paraId="700C6F28" w14:textId="77777777" w:rsidR="00D54BDA" w:rsidRPr="00D9258F" w:rsidRDefault="00D54BDA" w:rsidP="00854589">
            <w:pPr>
              <w:pStyle w:val="ListParagraph"/>
              <w:widowControl/>
              <w:numPr>
                <w:ilvl w:val="0"/>
                <w:numId w:val="25"/>
              </w:numPr>
              <w:autoSpaceDE/>
              <w:autoSpaceDN/>
              <w:contextualSpacing/>
              <w:rPr>
                <w:rFonts w:asciiTheme="majorHAnsi" w:hAnsiTheme="majorHAnsi" w:cs="Arial"/>
                <w:sz w:val="14"/>
                <w:szCs w:val="14"/>
              </w:rPr>
            </w:pPr>
            <w:r w:rsidRPr="00D9258F">
              <w:rPr>
                <w:rFonts w:asciiTheme="majorHAnsi" w:hAnsiTheme="majorHAnsi" w:cs="Arial"/>
                <w:sz w:val="14"/>
                <w:szCs w:val="14"/>
              </w:rPr>
              <w:t xml:space="preserve">Chakravarty D, Johnson A, </w:t>
            </w:r>
            <w:proofErr w:type="spellStart"/>
            <w:r w:rsidRPr="00D9258F">
              <w:rPr>
                <w:rFonts w:asciiTheme="majorHAnsi" w:hAnsiTheme="majorHAnsi" w:cs="Arial"/>
                <w:sz w:val="14"/>
                <w:szCs w:val="14"/>
              </w:rPr>
              <w:t>Sklar</w:t>
            </w:r>
            <w:proofErr w:type="spellEnd"/>
            <w:r w:rsidRPr="00D9258F">
              <w:rPr>
                <w:rFonts w:asciiTheme="majorHAnsi" w:hAnsiTheme="majorHAnsi" w:cs="Arial"/>
                <w:sz w:val="14"/>
                <w:szCs w:val="14"/>
              </w:rPr>
              <w:t xml:space="preserve"> J, et al., Somatic genomic testing in patients with metastatic or advanced cancer: ASCO provisional clinical opinion. </w:t>
            </w:r>
            <w:r w:rsidRPr="00D9258F">
              <w:rPr>
                <w:rFonts w:asciiTheme="majorHAnsi" w:hAnsiTheme="majorHAnsi" w:cs="Arial"/>
                <w:i/>
                <w:iCs/>
                <w:sz w:val="14"/>
                <w:szCs w:val="14"/>
              </w:rPr>
              <w:t>J Clin Oncol</w:t>
            </w:r>
            <w:r w:rsidRPr="00D9258F">
              <w:rPr>
                <w:rFonts w:asciiTheme="majorHAnsi" w:hAnsiTheme="majorHAnsi" w:cs="Arial"/>
                <w:sz w:val="14"/>
                <w:szCs w:val="14"/>
              </w:rPr>
              <w:t xml:space="preserve">. </w:t>
            </w:r>
            <w:proofErr w:type="gramStart"/>
            <w:r w:rsidRPr="00D9258F">
              <w:rPr>
                <w:rFonts w:asciiTheme="majorHAnsi" w:hAnsiTheme="majorHAnsi" w:cs="Arial"/>
                <w:sz w:val="14"/>
                <w:szCs w:val="14"/>
              </w:rPr>
              <w:t>2022;40:1231</w:t>
            </w:r>
            <w:proofErr w:type="gramEnd"/>
            <w:r w:rsidRPr="00D9258F">
              <w:rPr>
                <w:rFonts w:asciiTheme="majorHAnsi" w:hAnsiTheme="majorHAnsi" w:cs="Arial"/>
                <w:sz w:val="14"/>
                <w:szCs w:val="14"/>
              </w:rPr>
              <w:t>-1258.</w:t>
            </w:r>
          </w:p>
          <w:p w14:paraId="6FFDACE4" w14:textId="0278D192" w:rsidR="00D54BDA" w:rsidRPr="00DE7538" w:rsidRDefault="00D54BDA" w:rsidP="00854589">
            <w:pPr>
              <w:pStyle w:val="ListParagraph"/>
              <w:widowControl/>
              <w:numPr>
                <w:ilvl w:val="0"/>
                <w:numId w:val="25"/>
              </w:numPr>
              <w:autoSpaceDE/>
              <w:autoSpaceDN/>
              <w:contextualSpacing/>
              <w:rPr>
                <w:rFonts w:asciiTheme="majorHAnsi" w:hAnsiTheme="majorHAnsi" w:cs="Arial"/>
                <w:sz w:val="14"/>
                <w:szCs w:val="14"/>
              </w:rPr>
            </w:pPr>
            <w:r w:rsidRPr="00DE7538">
              <w:rPr>
                <w:rFonts w:asciiTheme="majorHAnsi" w:hAnsiTheme="majorHAnsi" w:cs="Karla"/>
                <w:color w:val="041726" w:themeColor="text1"/>
                <w:sz w:val="14"/>
                <w:szCs w:val="14"/>
              </w:rPr>
              <w:t xml:space="preserve">Katz SJ, </w:t>
            </w:r>
            <w:proofErr w:type="spellStart"/>
            <w:r w:rsidRPr="00DE7538">
              <w:rPr>
                <w:rFonts w:asciiTheme="majorHAnsi" w:hAnsiTheme="majorHAnsi" w:cs="Karla"/>
                <w:color w:val="041726" w:themeColor="text1"/>
                <w:sz w:val="14"/>
                <w:szCs w:val="14"/>
              </w:rPr>
              <w:t>Abrahamse</w:t>
            </w:r>
            <w:proofErr w:type="spellEnd"/>
            <w:r w:rsidRPr="00DE7538">
              <w:rPr>
                <w:rFonts w:asciiTheme="majorHAnsi" w:hAnsiTheme="majorHAnsi" w:cs="Karla"/>
                <w:color w:val="041726" w:themeColor="text1"/>
                <w:sz w:val="14"/>
                <w:szCs w:val="14"/>
              </w:rPr>
              <w:t xml:space="preserve"> P, </w:t>
            </w:r>
            <w:proofErr w:type="spellStart"/>
            <w:r w:rsidRPr="00DE7538">
              <w:rPr>
                <w:rFonts w:asciiTheme="majorHAnsi" w:hAnsiTheme="majorHAnsi" w:cs="Karla"/>
                <w:color w:val="041726" w:themeColor="text1"/>
                <w:sz w:val="14"/>
                <w:szCs w:val="14"/>
              </w:rPr>
              <w:t>Furgal</w:t>
            </w:r>
            <w:proofErr w:type="spellEnd"/>
            <w:r w:rsidRPr="00DE7538">
              <w:rPr>
                <w:rFonts w:asciiTheme="majorHAnsi" w:hAnsiTheme="majorHAnsi" w:cs="Karla"/>
                <w:color w:val="041726" w:themeColor="text1"/>
                <w:sz w:val="14"/>
                <w:szCs w:val="14"/>
              </w:rPr>
              <w:t xml:space="preserve"> A, et al., Genetic counseling, testing, and family communication into survivorship after diagnosis of breast cancer. </w:t>
            </w:r>
            <w:r w:rsidRPr="00DE7538">
              <w:rPr>
                <w:rFonts w:asciiTheme="majorHAnsi" w:hAnsiTheme="majorHAnsi" w:cs="Arial"/>
                <w:i/>
                <w:iCs/>
                <w:sz w:val="14"/>
                <w:szCs w:val="14"/>
              </w:rPr>
              <w:t>J Clin Oncol</w:t>
            </w:r>
            <w:r w:rsidRPr="00DE7538">
              <w:rPr>
                <w:rFonts w:asciiTheme="majorHAnsi" w:hAnsiTheme="majorHAnsi" w:cs="Arial"/>
                <w:sz w:val="14"/>
                <w:szCs w:val="14"/>
              </w:rPr>
              <w:t xml:space="preserve">. </w:t>
            </w:r>
            <w:proofErr w:type="gramStart"/>
            <w:r w:rsidRPr="00DE7538">
              <w:rPr>
                <w:rFonts w:asciiTheme="majorHAnsi" w:hAnsiTheme="majorHAnsi" w:cs="Arial"/>
                <w:sz w:val="14"/>
                <w:szCs w:val="14"/>
              </w:rPr>
              <w:t>2024;</w:t>
            </w:r>
            <w:r w:rsidRPr="00DE7538">
              <w:rPr>
                <w:rFonts w:asciiTheme="majorHAnsi" w:hAnsiTheme="majorHAnsi" w:cs="Karla"/>
                <w:color w:val="041726" w:themeColor="text1"/>
                <w:sz w:val="14"/>
                <w:szCs w:val="14"/>
              </w:rPr>
              <w:t>42:3123</w:t>
            </w:r>
            <w:proofErr w:type="gramEnd"/>
            <w:r w:rsidRPr="00DE7538">
              <w:rPr>
                <w:rFonts w:asciiTheme="majorHAnsi" w:hAnsiTheme="majorHAnsi" w:cs="Karla"/>
                <w:color w:val="041726" w:themeColor="text1"/>
                <w:sz w:val="14"/>
                <w:szCs w:val="14"/>
              </w:rPr>
              <w:t xml:space="preserve">-3129. </w:t>
            </w:r>
          </w:p>
          <w:p w14:paraId="7A11F6D0" w14:textId="2549B6C0" w:rsidR="00D54BDA" w:rsidRPr="00BE7F0A" w:rsidRDefault="00D54BDA" w:rsidP="00BE7F0A">
            <w:pPr>
              <w:pStyle w:val="ListParagraph"/>
              <w:widowControl/>
              <w:numPr>
                <w:ilvl w:val="0"/>
                <w:numId w:val="25"/>
              </w:numPr>
              <w:autoSpaceDE/>
              <w:autoSpaceDN/>
              <w:contextualSpacing/>
              <w:rPr>
                <w:rFonts w:asciiTheme="majorHAnsi" w:hAnsiTheme="majorHAnsi" w:cs="Arial"/>
                <w:sz w:val="14"/>
                <w:szCs w:val="14"/>
              </w:rPr>
            </w:pPr>
            <w:r w:rsidRPr="00DE7538">
              <w:rPr>
                <w:rFonts w:asciiTheme="majorHAnsi" w:hAnsiTheme="majorHAnsi" w:cs="Arial"/>
                <w:sz w:val="14"/>
                <w:szCs w:val="14"/>
              </w:rPr>
              <w:t xml:space="preserve">Korte KT, Terry SF. Socioeconomic barriers surrounding genetic counseling. </w:t>
            </w:r>
            <w:r w:rsidRPr="00DE7538">
              <w:rPr>
                <w:rFonts w:asciiTheme="majorHAnsi" w:hAnsiTheme="majorHAnsi" w:cs="Arial"/>
                <w:i/>
                <w:iCs/>
                <w:sz w:val="14"/>
                <w:szCs w:val="14"/>
              </w:rPr>
              <w:t>Genet Test Mol Biomarkers</w:t>
            </w:r>
            <w:r w:rsidRPr="00DE7538">
              <w:rPr>
                <w:rFonts w:asciiTheme="majorHAnsi" w:hAnsiTheme="majorHAnsi" w:cs="Arial"/>
                <w:sz w:val="14"/>
                <w:szCs w:val="14"/>
              </w:rPr>
              <w:t>. 2023;27(2):34-35.</w:t>
            </w:r>
          </w:p>
        </w:tc>
      </w:tr>
      <w:bookmarkEnd w:id="0"/>
      <w:bookmarkEnd w:id="1"/>
    </w:tbl>
    <w:p w14:paraId="6C02121B" w14:textId="067C3918" w:rsidR="007E3923" w:rsidRDefault="007E3923" w:rsidP="00B0638B"/>
    <w:sectPr w:rsidR="007E3923" w:rsidSect="00593B32">
      <w:headerReference w:type="default" r:id="rId14"/>
      <w:footerReference w:type="default" r:id="rId15"/>
      <w:pgSz w:w="15840" w:h="12240" w:orient="landscape"/>
      <w:pgMar w:top="629" w:right="1979" w:bottom="629"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48ED" w14:textId="77777777" w:rsidR="00DF02FC" w:rsidRPr="00046447" w:rsidRDefault="00DF02FC" w:rsidP="006A0EB4">
      <w:pPr>
        <w:spacing w:after="0" w:line="240" w:lineRule="auto"/>
      </w:pPr>
      <w:r w:rsidRPr="00046447">
        <w:separator/>
      </w:r>
    </w:p>
  </w:endnote>
  <w:endnote w:type="continuationSeparator" w:id="0">
    <w:p w14:paraId="759CB87E" w14:textId="77777777" w:rsidR="00DF02FC" w:rsidRPr="00046447" w:rsidRDefault="00DF02FC" w:rsidP="006A0EB4">
      <w:pPr>
        <w:spacing w:after="0" w:line="240" w:lineRule="auto"/>
      </w:pPr>
      <w:r w:rsidRPr="00046447">
        <w:continuationSeparator/>
      </w:r>
    </w:p>
  </w:endnote>
  <w:endnote w:type="continuationNotice" w:id="1">
    <w:p w14:paraId="00E42DAE" w14:textId="77777777" w:rsidR="00DF02FC" w:rsidRPr="00046447" w:rsidRDefault="00DF0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modern"/>
    <w:notTrueType/>
    <w:pitch w:val="variable"/>
    <w:sig w:usb0="A10000FF" w:usb1="40000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91AB" w14:textId="6DAB02F6" w:rsidR="0089430F" w:rsidRPr="00046447" w:rsidRDefault="0089430F" w:rsidP="00A81303">
    <w:pPr>
      <w:pStyle w:val="Footer"/>
      <w:tabs>
        <w:tab w:val="clear" w:pos="4680"/>
        <w:tab w:val="clear" w:pos="9360"/>
        <w:tab w:val="center" w:pos="8460"/>
      </w:tabs>
      <w:ind w:left="180" w:right="-90"/>
      <w:rPr>
        <w:color w:val="324C61" w:themeColor="text2"/>
      </w:rPr>
    </w:pPr>
    <w:r w:rsidRPr="00046447">
      <w:rPr>
        <w:color w:val="324C61" w:themeColor="text2"/>
      </w:rPr>
      <w:tab/>
    </w:r>
    <w:r w:rsidRPr="00046447">
      <w:rPr>
        <w:color w:val="324C61" w:themeColor="text2"/>
      </w:rPr>
      <w:tab/>
    </w:r>
    <w:r w:rsidRPr="00046447">
      <w:rPr>
        <w:color w:val="324C61" w:themeColor="text2"/>
      </w:rPr>
      <w:tab/>
      <w:t xml:space="preserve">    </w:t>
    </w:r>
    <w:r w:rsidR="00FF10F2" w:rsidRPr="00046447">
      <w:rPr>
        <w:color w:val="324C61" w:themeColor="text2"/>
      </w:rPr>
      <w:t xml:space="preserve"> </w:t>
    </w:r>
    <w:r w:rsidRPr="00046447">
      <w:rPr>
        <w:color w:val="324C61" w:themeColor="text2"/>
      </w:rPr>
      <w:t xml:space="preserve">Page </w:t>
    </w:r>
    <w:r w:rsidRPr="00046447">
      <w:rPr>
        <w:color w:val="324C61" w:themeColor="text2"/>
      </w:rPr>
      <w:fldChar w:fldCharType="begin"/>
    </w:r>
    <w:r w:rsidRPr="00046447">
      <w:rPr>
        <w:color w:val="324C61" w:themeColor="text2"/>
      </w:rPr>
      <w:instrText xml:space="preserve"> PAGE  \* Arabic  \* MERGEFORMAT </w:instrText>
    </w:r>
    <w:r w:rsidRPr="00046447">
      <w:rPr>
        <w:color w:val="324C61" w:themeColor="text2"/>
      </w:rPr>
      <w:fldChar w:fldCharType="separate"/>
    </w:r>
    <w:r w:rsidRPr="00046447">
      <w:rPr>
        <w:color w:val="324C61" w:themeColor="text2"/>
      </w:rPr>
      <w:t>2</w:t>
    </w:r>
    <w:r w:rsidRPr="00046447">
      <w:rPr>
        <w:color w:val="324C61" w:themeColor="text2"/>
      </w:rPr>
      <w:fldChar w:fldCharType="end"/>
    </w:r>
    <w:r w:rsidRPr="00046447">
      <w:rPr>
        <w:color w:val="324C61" w:themeColor="text2"/>
      </w:rPr>
      <w:t xml:space="preserve"> of </w:t>
    </w:r>
    <w:r w:rsidRPr="00046447">
      <w:rPr>
        <w:color w:val="324C61" w:themeColor="text2"/>
      </w:rPr>
      <w:fldChar w:fldCharType="begin"/>
    </w:r>
    <w:r w:rsidRPr="00046447">
      <w:rPr>
        <w:color w:val="324C61" w:themeColor="text2"/>
      </w:rPr>
      <w:instrText xml:space="preserve"> NUMPAGES  \* Arabic  \* MERGEFORMAT </w:instrText>
    </w:r>
    <w:r w:rsidRPr="00046447">
      <w:rPr>
        <w:color w:val="324C61" w:themeColor="text2"/>
      </w:rPr>
      <w:fldChar w:fldCharType="separate"/>
    </w:r>
    <w:r w:rsidRPr="00046447">
      <w:rPr>
        <w:color w:val="324C61" w:themeColor="text2"/>
      </w:rPr>
      <w:t>2</w:t>
    </w:r>
    <w:r w:rsidRPr="00046447">
      <w:rPr>
        <w:color w:val="324C61" w:themeColor="text2"/>
      </w:rPr>
      <w:fldChar w:fldCharType="end"/>
    </w:r>
  </w:p>
  <w:p w14:paraId="5794547F" w14:textId="230E0BBA" w:rsidR="00F27BC1" w:rsidRPr="00046447" w:rsidRDefault="00F27BC1" w:rsidP="00D9383C">
    <w:pPr>
      <w:rPr>
        <w:rFonts w:ascii="Karla" w:hAnsi="Karla"/>
        <w:b/>
        <w:bCs/>
        <w:color w:val="324C61"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23E2" w14:textId="77777777" w:rsidR="00DF02FC" w:rsidRPr="00046447" w:rsidRDefault="00DF02FC" w:rsidP="006A0EB4">
      <w:pPr>
        <w:spacing w:after="0" w:line="240" w:lineRule="auto"/>
      </w:pPr>
      <w:r w:rsidRPr="00046447">
        <w:separator/>
      </w:r>
    </w:p>
  </w:footnote>
  <w:footnote w:type="continuationSeparator" w:id="0">
    <w:p w14:paraId="1FDB9DDA" w14:textId="77777777" w:rsidR="00DF02FC" w:rsidRPr="00046447" w:rsidRDefault="00DF02FC" w:rsidP="006A0EB4">
      <w:pPr>
        <w:spacing w:after="0" w:line="240" w:lineRule="auto"/>
      </w:pPr>
      <w:r w:rsidRPr="00046447">
        <w:continuationSeparator/>
      </w:r>
    </w:p>
  </w:footnote>
  <w:footnote w:type="continuationNotice" w:id="1">
    <w:p w14:paraId="03DB15E5" w14:textId="77777777" w:rsidR="00DF02FC" w:rsidRPr="00046447" w:rsidRDefault="00DF0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FFD8" w14:textId="77777777" w:rsidR="00F127F2" w:rsidRPr="00F127F2" w:rsidRDefault="00F127F2" w:rsidP="00F127F2">
    <w:pPr>
      <w:pStyle w:val="Heading1"/>
      <w:tabs>
        <w:tab w:val="left" w:pos="7200"/>
        <w:tab w:val="left" w:pos="7560"/>
        <w:tab w:val="left" w:pos="10440"/>
      </w:tabs>
      <w:ind w:left="2520" w:right="180"/>
      <w:jc w:val="right"/>
    </w:pPr>
    <w:r w:rsidRPr="00F127F2">
      <w:t>Approaching Care for Breast Cancer Patients</w:t>
    </w:r>
  </w:p>
  <w:p w14:paraId="53A5B851" w14:textId="77777777" w:rsidR="008F6E08" w:rsidRPr="009C6B17" w:rsidRDefault="008F6E08" w:rsidP="009C6B17">
    <w:pPr>
      <w:pStyle w:val="Heading1"/>
      <w:tabs>
        <w:tab w:val="left" w:pos="7200"/>
        <w:tab w:val="left" w:pos="7560"/>
        <w:tab w:val="left" w:pos="10440"/>
      </w:tabs>
      <w:ind w:left="2520" w:right="180"/>
      <w:jc w:val="right"/>
      <w:rPr>
        <w:noProof/>
        <w:color w:val="324C61"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C7C"/>
    <w:multiLevelType w:val="hybridMultilevel"/>
    <w:tmpl w:val="3FFE5F6A"/>
    <w:lvl w:ilvl="0" w:tplc="FB162494">
      <w:start w:val="1"/>
      <w:numFmt w:val="decimal"/>
      <w:lvlText w:val="%1."/>
      <w:lvlJc w:val="left"/>
      <w:pPr>
        <w:ind w:left="-120" w:hanging="360"/>
      </w:pPr>
      <w:rPr>
        <w:rFonts w:hint="default"/>
        <w:i w:val="0"/>
        <w:iCs/>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 w15:restartNumberingAfterBreak="0">
    <w:nsid w:val="084F621E"/>
    <w:multiLevelType w:val="hybridMultilevel"/>
    <w:tmpl w:val="B17A0E9A"/>
    <w:lvl w:ilvl="0" w:tplc="7744EF08">
      <w:start w:val="1"/>
      <w:numFmt w:val="decimal"/>
      <w:lvlText w:val="%1."/>
      <w:lvlJc w:val="left"/>
      <w:pPr>
        <w:ind w:left="1160" w:hanging="360"/>
      </w:pPr>
    </w:lvl>
    <w:lvl w:ilvl="1" w:tplc="B62C3134">
      <w:start w:val="1"/>
      <w:numFmt w:val="decimal"/>
      <w:lvlText w:val="%2."/>
      <w:lvlJc w:val="left"/>
      <w:pPr>
        <w:ind w:left="1160" w:hanging="360"/>
      </w:pPr>
    </w:lvl>
    <w:lvl w:ilvl="2" w:tplc="0AF81DDC">
      <w:start w:val="1"/>
      <w:numFmt w:val="decimal"/>
      <w:lvlText w:val="%3."/>
      <w:lvlJc w:val="left"/>
      <w:pPr>
        <w:ind w:left="1160" w:hanging="360"/>
      </w:pPr>
    </w:lvl>
    <w:lvl w:ilvl="3" w:tplc="C80E5590">
      <w:start w:val="1"/>
      <w:numFmt w:val="decimal"/>
      <w:lvlText w:val="%4."/>
      <w:lvlJc w:val="left"/>
      <w:pPr>
        <w:ind w:left="1160" w:hanging="360"/>
      </w:pPr>
    </w:lvl>
    <w:lvl w:ilvl="4" w:tplc="07165BE4">
      <w:start w:val="1"/>
      <w:numFmt w:val="decimal"/>
      <w:lvlText w:val="%5."/>
      <w:lvlJc w:val="left"/>
      <w:pPr>
        <w:ind w:left="1160" w:hanging="360"/>
      </w:pPr>
    </w:lvl>
    <w:lvl w:ilvl="5" w:tplc="C7164132">
      <w:start w:val="1"/>
      <w:numFmt w:val="decimal"/>
      <w:lvlText w:val="%6."/>
      <w:lvlJc w:val="left"/>
      <w:pPr>
        <w:ind w:left="1160" w:hanging="360"/>
      </w:pPr>
    </w:lvl>
    <w:lvl w:ilvl="6" w:tplc="84D6AA06">
      <w:start w:val="1"/>
      <w:numFmt w:val="decimal"/>
      <w:lvlText w:val="%7."/>
      <w:lvlJc w:val="left"/>
      <w:pPr>
        <w:ind w:left="1160" w:hanging="360"/>
      </w:pPr>
    </w:lvl>
    <w:lvl w:ilvl="7" w:tplc="4E9AF648">
      <w:start w:val="1"/>
      <w:numFmt w:val="decimal"/>
      <w:lvlText w:val="%8."/>
      <w:lvlJc w:val="left"/>
      <w:pPr>
        <w:ind w:left="1160" w:hanging="360"/>
      </w:pPr>
    </w:lvl>
    <w:lvl w:ilvl="8" w:tplc="CAACB5DC">
      <w:start w:val="1"/>
      <w:numFmt w:val="decimal"/>
      <w:lvlText w:val="%9."/>
      <w:lvlJc w:val="left"/>
      <w:pPr>
        <w:ind w:left="1160" w:hanging="360"/>
      </w:pPr>
    </w:lvl>
  </w:abstractNum>
  <w:abstractNum w:abstractNumId="2" w15:restartNumberingAfterBreak="0">
    <w:nsid w:val="09A77D79"/>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3" w15:restartNumberingAfterBreak="0">
    <w:nsid w:val="0D9D7A4B"/>
    <w:multiLevelType w:val="hybridMultilevel"/>
    <w:tmpl w:val="EB608280"/>
    <w:lvl w:ilvl="0" w:tplc="5008B0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1692501"/>
    <w:multiLevelType w:val="hybridMultilevel"/>
    <w:tmpl w:val="AC606ACA"/>
    <w:lvl w:ilvl="0" w:tplc="684A7EAA">
      <w:start w:val="1"/>
      <w:numFmt w:val="decimal"/>
      <w:lvlText w:val="%1."/>
      <w:lvlJc w:val="left"/>
      <w:pPr>
        <w:tabs>
          <w:tab w:val="num" w:pos="720"/>
        </w:tabs>
        <w:ind w:left="720" w:hanging="360"/>
      </w:pPr>
    </w:lvl>
    <w:lvl w:ilvl="1" w:tplc="D7F09E0A" w:tentative="1">
      <w:start w:val="1"/>
      <w:numFmt w:val="decimal"/>
      <w:lvlText w:val="%2."/>
      <w:lvlJc w:val="left"/>
      <w:pPr>
        <w:tabs>
          <w:tab w:val="num" w:pos="1440"/>
        </w:tabs>
        <w:ind w:left="1440" w:hanging="360"/>
      </w:pPr>
    </w:lvl>
    <w:lvl w:ilvl="2" w:tplc="882EB498" w:tentative="1">
      <w:start w:val="1"/>
      <w:numFmt w:val="decimal"/>
      <w:lvlText w:val="%3."/>
      <w:lvlJc w:val="left"/>
      <w:pPr>
        <w:tabs>
          <w:tab w:val="num" w:pos="2160"/>
        </w:tabs>
        <w:ind w:left="2160" w:hanging="360"/>
      </w:pPr>
    </w:lvl>
    <w:lvl w:ilvl="3" w:tplc="D0B41ACA" w:tentative="1">
      <w:start w:val="1"/>
      <w:numFmt w:val="decimal"/>
      <w:lvlText w:val="%4."/>
      <w:lvlJc w:val="left"/>
      <w:pPr>
        <w:tabs>
          <w:tab w:val="num" w:pos="2880"/>
        </w:tabs>
        <w:ind w:left="2880" w:hanging="360"/>
      </w:pPr>
    </w:lvl>
    <w:lvl w:ilvl="4" w:tplc="0406DCF4" w:tentative="1">
      <w:start w:val="1"/>
      <w:numFmt w:val="decimal"/>
      <w:lvlText w:val="%5."/>
      <w:lvlJc w:val="left"/>
      <w:pPr>
        <w:tabs>
          <w:tab w:val="num" w:pos="3600"/>
        </w:tabs>
        <w:ind w:left="3600" w:hanging="360"/>
      </w:pPr>
    </w:lvl>
    <w:lvl w:ilvl="5" w:tplc="1D7EE752" w:tentative="1">
      <w:start w:val="1"/>
      <w:numFmt w:val="decimal"/>
      <w:lvlText w:val="%6."/>
      <w:lvlJc w:val="left"/>
      <w:pPr>
        <w:tabs>
          <w:tab w:val="num" w:pos="4320"/>
        </w:tabs>
        <w:ind w:left="4320" w:hanging="360"/>
      </w:pPr>
    </w:lvl>
    <w:lvl w:ilvl="6" w:tplc="FA308D1E" w:tentative="1">
      <w:start w:val="1"/>
      <w:numFmt w:val="decimal"/>
      <w:lvlText w:val="%7."/>
      <w:lvlJc w:val="left"/>
      <w:pPr>
        <w:tabs>
          <w:tab w:val="num" w:pos="5040"/>
        </w:tabs>
        <w:ind w:left="5040" w:hanging="360"/>
      </w:pPr>
    </w:lvl>
    <w:lvl w:ilvl="7" w:tplc="4664C12C" w:tentative="1">
      <w:start w:val="1"/>
      <w:numFmt w:val="decimal"/>
      <w:lvlText w:val="%8."/>
      <w:lvlJc w:val="left"/>
      <w:pPr>
        <w:tabs>
          <w:tab w:val="num" w:pos="5760"/>
        </w:tabs>
        <w:ind w:left="5760" w:hanging="360"/>
      </w:pPr>
    </w:lvl>
    <w:lvl w:ilvl="8" w:tplc="3522D676" w:tentative="1">
      <w:start w:val="1"/>
      <w:numFmt w:val="decimal"/>
      <w:lvlText w:val="%9."/>
      <w:lvlJc w:val="left"/>
      <w:pPr>
        <w:tabs>
          <w:tab w:val="num" w:pos="6480"/>
        </w:tabs>
        <w:ind w:left="6480" w:hanging="360"/>
      </w:pPr>
    </w:lvl>
  </w:abstractNum>
  <w:abstractNum w:abstractNumId="5" w15:restartNumberingAfterBreak="0">
    <w:nsid w:val="166304AE"/>
    <w:multiLevelType w:val="hybridMultilevel"/>
    <w:tmpl w:val="ADCE2C78"/>
    <w:lvl w:ilvl="0" w:tplc="59FC91C6">
      <w:start w:val="1"/>
      <w:numFmt w:val="decimal"/>
      <w:lvlText w:val="%1."/>
      <w:lvlJc w:val="left"/>
      <w:pPr>
        <w:ind w:left="720" w:hanging="360"/>
      </w:pPr>
      <w:rPr>
        <w:rFont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3C7B6A"/>
    <w:multiLevelType w:val="multilevel"/>
    <w:tmpl w:val="CD1C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4086"/>
    <w:multiLevelType w:val="hybridMultilevel"/>
    <w:tmpl w:val="17A8F42A"/>
    <w:lvl w:ilvl="0" w:tplc="76E8321E">
      <w:start w:val="1"/>
      <w:numFmt w:val="decimal"/>
      <w:lvlText w:val="%1."/>
      <w:lvlJc w:val="left"/>
      <w:pPr>
        <w:ind w:left="1160" w:hanging="360"/>
      </w:pPr>
    </w:lvl>
    <w:lvl w:ilvl="1" w:tplc="37A2B824">
      <w:start w:val="1"/>
      <w:numFmt w:val="decimal"/>
      <w:lvlText w:val="%2."/>
      <w:lvlJc w:val="left"/>
      <w:pPr>
        <w:ind w:left="1160" w:hanging="360"/>
      </w:pPr>
    </w:lvl>
    <w:lvl w:ilvl="2" w:tplc="DCD0AA6A">
      <w:start w:val="1"/>
      <w:numFmt w:val="decimal"/>
      <w:lvlText w:val="%3."/>
      <w:lvlJc w:val="left"/>
      <w:pPr>
        <w:ind w:left="1160" w:hanging="360"/>
      </w:pPr>
    </w:lvl>
    <w:lvl w:ilvl="3" w:tplc="11BE1DD4">
      <w:start w:val="1"/>
      <w:numFmt w:val="decimal"/>
      <w:lvlText w:val="%4."/>
      <w:lvlJc w:val="left"/>
      <w:pPr>
        <w:ind w:left="1160" w:hanging="360"/>
      </w:pPr>
    </w:lvl>
    <w:lvl w:ilvl="4" w:tplc="C0669FE6">
      <w:start w:val="1"/>
      <w:numFmt w:val="decimal"/>
      <w:lvlText w:val="%5."/>
      <w:lvlJc w:val="left"/>
      <w:pPr>
        <w:ind w:left="1160" w:hanging="360"/>
      </w:pPr>
    </w:lvl>
    <w:lvl w:ilvl="5" w:tplc="DC902E1E">
      <w:start w:val="1"/>
      <w:numFmt w:val="decimal"/>
      <w:lvlText w:val="%6."/>
      <w:lvlJc w:val="left"/>
      <w:pPr>
        <w:ind w:left="1160" w:hanging="360"/>
      </w:pPr>
    </w:lvl>
    <w:lvl w:ilvl="6" w:tplc="B59E0CCE">
      <w:start w:val="1"/>
      <w:numFmt w:val="decimal"/>
      <w:lvlText w:val="%7."/>
      <w:lvlJc w:val="left"/>
      <w:pPr>
        <w:ind w:left="1160" w:hanging="360"/>
      </w:pPr>
    </w:lvl>
    <w:lvl w:ilvl="7" w:tplc="86D05B04">
      <w:start w:val="1"/>
      <w:numFmt w:val="decimal"/>
      <w:lvlText w:val="%8."/>
      <w:lvlJc w:val="left"/>
      <w:pPr>
        <w:ind w:left="1160" w:hanging="360"/>
      </w:pPr>
    </w:lvl>
    <w:lvl w:ilvl="8" w:tplc="2222BB14">
      <w:start w:val="1"/>
      <w:numFmt w:val="decimal"/>
      <w:lvlText w:val="%9."/>
      <w:lvlJc w:val="left"/>
      <w:pPr>
        <w:ind w:left="1160" w:hanging="360"/>
      </w:pPr>
    </w:lvl>
  </w:abstractNum>
  <w:abstractNum w:abstractNumId="8" w15:restartNumberingAfterBreak="0">
    <w:nsid w:val="1B3453D6"/>
    <w:multiLevelType w:val="hybridMultilevel"/>
    <w:tmpl w:val="2E6A28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953773"/>
    <w:multiLevelType w:val="hybridMultilevel"/>
    <w:tmpl w:val="480E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55E8F"/>
    <w:multiLevelType w:val="hybridMultilevel"/>
    <w:tmpl w:val="EC9E0364"/>
    <w:lvl w:ilvl="0" w:tplc="44305BD8">
      <w:numFmt w:val="decimal"/>
      <w:lvlText w:val="%1."/>
      <w:lvlJc w:val="left"/>
      <w:pPr>
        <w:ind w:left="450" w:hanging="360"/>
      </w:pPr>
      <w:rPr>
        <w:rFonts w:asciiTheme="majorHAnsi" w:hAnsiTheme="majorHAnsi" w:hint="default"/>
        <w:color w:val="FFFFFF" w:themeColor="accent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7F934A2"/>
    <w:multiLevelType w:val="hybridMultilevel"/>
    <w:tmpl w:val="9B164B52"/>
    <w:lvl w:ilvl="0" w:tplc="E2465CFE">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DF2DB6"/>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13" w15:restartNumberingAfterBreak="0">
    <w:nsid w:val="351D5F6F"/>
    <w:multiLevelType w:val="hybridMultilevel"/>
    <w:tmpl w:val="BEB0F4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6253C98"/>
    <w:multiLevelType w:val="hybridMultilevel"/>
    <w:tmpl w:val="6B0C28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47193"/>
    <w:multiLevelType w:val="hybridMultilevel"/>
    <w:tmpl w:val="8CEA715E"/>
    <w:lvl w:ilvl="0" w:tplc="0409000F">
      <w:start w:val="1"/>
      <w:numFmt w:val="decimal"/>
      <w:lvlText w:val="%1."/>
      <w:lvlJc w:val="left"/>
      <w:pPr>
        <w:ind w:left="360" w:hanging="360"/>
      </w:pPr>
      <w:rPr>
        <w:rFonts w:hint="default"/>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95E6BD7"/>
    <w:multiLevelType w:val="hybridMultilevel"/>
    <w:tmpl w:val="B32AEF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7CB4202"/>
    <w:multiLevelType w:val="hybridMultilevel"/>
    <w:tmpl w:val="D7765C9E"/>
    <w:lvl w:ilvl="0" w:tplc="347AA1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8BB3902"/>
    <w:multiLevelType w:val="hybridMultilevel"/>
    <w:tmpl w:val="A6C44CB4"/>
    <w:lvl w:ilvl="0" w:tplc="04090001">
      <w:start w:val="1"/>
      <w:numFmt w:val="bullet"/>
      <w:lvlText w:val=""/>
      <w:lvlJc w:val="left"/>
      <w:pPr>
        <w:ind w:left="360" w:hanging="360"/>
      </w:pPr>
      <w:rPr>
        <w:rFonts w:ascii="Symbol" w:hAnsi="Symbol" w:hint="default"/>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DC35D77"/>
    <w:multiLevelType w:val="hybridMultilevel"/>
    <w:tmpl w:val="F55AFFE6"/>
    <w:lvl w:ilvl="0" w:tplc="BB2860C6">
      <w:start w:val="1"/>
      <w:numFmt w:val="bullet"/>
      <w:lvlText w:val="•"/>
      <w:lvlJc w:val="left"/>
      <w:pPr>
        <w:tabs>
          <w:tab w:val="num" w:pos="720"/>
        </w:tabs>
        <w:ind w:left="720" w:hanging="360"/>
      </w:pPr>
      <w:rPr>
        <w:rFonts w:ascii="Arial" w:hAnsi="Arial" w:hint="default"/>
      </w:rPr>
    </w:lvl>
    <w:lvl w:ilvl="1" w:tplc="E60C100E" w:tentative="1">
      <w:start w:val="1"/>
      <w:numFmt w:val="bullet"/>
      <w:lvlText w:val="•"/>
      <w:lvlJc w:val="left"/>
      <w:pPr>
        <w:tabs>
          <w:tab w:val="num" w:pos="1440"/>
        </w:tabs>
        <w:ind w:left="1440" w:hanging="360"/>
      </w:pPr>
      <w:rPr>
        <w:rFonts w:ascii="Arial" w:hAnsi="Arial" w:hint="default"/>
      </w:rPr>
    </w:lvl>
    <w:lvl w:ilvl="2" w:tplc="6E229B44" w:tentative="1">
      <w:start w:val="1"/>
      <w:numFmt w:val="bullet"/>
      <w:lvlText w:val="•"/>
      <w:lvlJc w:val="left"/>
      <w:pPr>
        <w:tabs>
          <w:tab w:val="num" w:pos="2160"/>
        </w:tabs>
        <w:ind w:left="2160" w:hanging="360"/>
      </w:pPr>
      <w:rPr>
        <w:rFonts w:ascii="Arial" w:hAnsi="Arial" w:hint="default"/>
      </w:rPr>
    </w:lvl>
    <w:lvl w:ilvl="3" w:tplc="13F4DC88" w:tentative="1">
      <w:start w:val="1"/>
      <w:numFmt w:val="bullet"/>
      <w:lvlText w:val="•"/>
      <w:lvlJc w:val="left"/>
      <w:pPr>
        <w:tabs>
          <w:tab w:val="num" w:pos="2880"/>
        </w:tabs>
        <w:ind w:left="2880" w:hanging="360"/>
      </w:pPr>
      <w:rPr>
        <w:rFonts w:ascii="Arial" w:hAnsi="Arial" w:hint="default"/>
      </w:rPr>
    </w:lvl>
    <w:lvl w:ilvl="4" w:tplc="D72E7886" w:tentative="1">
      <w:start w:val="1"/>
      <w:numFmt w:val="bullet"/>
      <w:lvlText w:val="•"/>
      <w:lvlJc w:val="left"/>
      <w:pPr>
        <w:tabs>
          <w:tab w:val="num" w:pos="3600"/>
        </w:tabs>
        <w:ind w:left="3600" w:hanging="360"/>
      </w:pPr>
      <w:rPr>
        <w:rFonts w:ascii="Arial" w:hAnsi="Arial" w:hint="default"/>
      </w:rPr>
    </w:lvl>
    <w:lvl w:ilvl="5" w:tplc="2BDCEF2C" w:tentative="1">
      <w:start w:val="1"/>
      <w:numFmt w:val="bullet"/>
      <w:lvlText w:val="•"/>
      <w:lvlJc w:val="left"/>
      <w:pPr>
        <w:tabs>
          <w:tab w:val="num" w:pos="4320"/>
        </w:tabs>
        <w:ind w:left="4320" w:hanging="360"/>
      </w:pPr>
      <w:rPr>
        <w:rFonts w:ascii="Arial" w:hAnsi="Arial" w:hint="default"/>
      </w:rPr>
    </w:lvl>
    <w:lvl w:ilvl="6" w:tplc="F81CDCAE" w:tentative="1">
      <w:start w:val="1"/>
      <w:numFmt w:val="bullet"/>
      <w:lvlText w:val="•"/>
      <w:lvlJc w:val="left"/>
      <w:pPr>
        <w:tabs>
          <w:tab w:val="num" w:pos="5040"/>
        </w:tabs>
        <w:ind w:left="5040" w:hanging="360"/>
      </w:pPr>
      <w:rPr>
        <w:rFonts w:ascii="Arial" w:hAnsi="Arial" w:hint="default"/>
      </w:rPr>
    </w:lvl>
    <w:lvl w:ilvl="7" w:tplc="B59EFD0A" w:tentative="1">
      <w:start w:val="1"/>
      <w:numFmt w:val="bullet"/>
      <w:lvlText w:val="•"/>
      <w:lvlJc w:val="left"/>
      <w:pPr>
        <w:tabs>
          <w:tab w:val="num" w:pos="5760"/>
        </w:tabs>
        <w:ind w:left="5760" w:hanging="360"/>
      </w:pPr>
      <w:rPr>
        <w:rFonts w:ascii="Arial" w:hAnsi="Arial" w:hint="default"/>
      </w:rPr>
    </w:lvl>
    <w:lvl w:ilvl="8" w:tplc="1980AB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930894"/>
    <w:multiLevelType w:val="hybridMultilevel"/>
    <w:tmpl w:val="A2B45EDA"/>
    <w:lvl w:ilvl="0" w:tplc="FB162494">
      <w:start w:val="1"/>
      <w:numFmt w:val="decimal"/>
      <w:lvlText w:val="%1."/>
      <w:lvlJc w:val="left"/>
      <w:pPr>
        <w:ind w:left="540" w:hanging="360"/>
      </w:pPr>
      <w:rPr>
        <w:rFonts w:hint="default"/>
        <w:i w:val="0"/>
        <w:iCs/>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21" w15:restartNumberingAfterBreak="0">
    <w:nsid w:val="66DD7A83"/>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22" w15:restartNumberingAfterBreak="0">
    <w:nsid w:val="6CC87C9C"/>
    <w:multiLevelType w:val="hybridMultilevel"/>
    <w:tmpl w:val="DB68DD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2C405B"/>
    <w:multiLevelType w:val="hybridMultilevel"/>
    <w:tmpl w:val="79C875F4"/>
    <w:lvl w:ilvl="0" w:tplc="0409000F">
      <w:start w:val="1"/>
      <w:numFmt w:val="decimal"/>
      <w:lvlText w:val="%1."/>
      <w:lvlJc w:val="left"/>
      <w:pPr>
        <w:ind w:left="360" w:hanging="360"/>
      </w:pPr>
      <w:rPr>
        <w:rFonts w:hint="default"/>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36D5CF6"/>
    <w:multiLevelType w:val="hybridMultilevel"/>
    <w:tmpl w:val="DE9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339617">
    <w:abstractNumId w:val="10"/>
  </w:num>
  <w:num w:numId="2" w16cid:durableId="779910743">
    <w:abstractNumId w:val="17"/>
  </w:num>
  <w:num w:numId="3" w16cid:durableId="210195989">
    <w:abstractNumId w:val="14"/>
  </w:num>
  <w:num w:numId="4" w16cid:durableId="1087927030">
    <w:abstractNumId w:val="3"/>
  </w:num>
  <w:num w:numId="5" w16cid:durableId="1177571649">
    <w:abstractNumId w:val="0"/>
  </w:num>
  <w:num w:numId="6" w16cid:durableId="1097679493">
    <w:abstractNumId w:val="9"/>
  </w:num>
  <w:num w:numId="7" w16cid:durableId="1311864999">
    <w:abstractNumId w:val="20"/>
  </w:num>
  <w:num w:numId="8" w16cid:durableId="1580407084">
    <w:abstractNumId w:val="12"/>
  </w:num>
  <w:num w:numId="9" w16cid:durableId="1142961463">
    <w:abstractNumId w:val="21"/>
  </w:num>
  <w:num w:numId="10" w16cid:durableId="1511990764">
    <w:abstractNumId w:val="2"/>
  </w:num>
  <w:num w:numId="11" w16cid:durableId="842009249">
    <w:abstractNumId w:val="7"/>
  </w:num>
  <w:num w:numId="12" w16cid:durableId="590043381">
    <w:abstractNumId w:val="1"/>
  </w:num>
  <w:num w:numId="13" w16cid:durableId="961576409">
    <w:abstractNumId w:val="6"/>
  </w:num>
  <w:num w:numId="14" w16cid:durableId="1915123748">
    <w:abstractNumId w:val="24"/>
  </w:num>
  <w:num w:numId="15" w16cid:durableId="403839886">
    <w:abstractNumId w:val="16"/>
  </w:num>
  <w:num w:numId="16" w16cid:durableId="2109154874">
    <w:abstractNumId w:val="13"/>
  </w:num>
  <w:num w:numId="17" w16cid:durableId="1415736702">
    <w:abstractNumId w:val="19"/>
  </w:num>
  <w:num w:numId="18" w16cid:durableId="366294150">
    <w:abstractNumId w:val="4"/>
  </w:num>
  <w:num w:numId="19" w16cid:durableId="1138451573">
    <w:abstractNumId w:val="5"/>
  </w:num>
  <w:num w:numId="20" w16cid:durableId="1901284713">
    <w:abstractNumId w:val="8"/>
  </w:num>
  <w:num w:numId="21" w16cid:durableId="957954147">
    <w:abstractNumId w:val="22"/>
  </w:num>
  <w:num w:numId="22" w16cid:durableId="424423475">
    <w:abstractNumId w:val="11"/>
  </w:num>
  <w:num w:numId="23" w16cid:durableId="977295984">
    <w:abstractNumId w:val="18"/>
  </w:num>
  <w:num w:numId="24" w16cid:durableId="1842308331">
    <w:abstractNumId w:val="15"/>
  </w:num>
  <w:num w:numId="25" w16cid:durableId="8074294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xNTQ0tTCzMTA0NLYyUdpeDU4uLM/DyQAkOjWgDRwuC5LQAAAA=="/>
  </w:docVars>
  <w:rsids>
    <w:rsidRoot w:val="006A0EB4"/>
    <w:rsid w:val="00003EC3"/>
    <w:rsid w:val="00003F10"/>
    <w:rsid w:val="000042FC"/>
    <w:rsid w:val="00004543"/>
    <w:rsid w:val="00004618"/>
    <w:rsid w:val="0000513C"/>
    <w:rsid w:val="00005E5B"/>
    <w:rsid w:val="00006435"/>
    <w:rsid w:val="00006C8C"/>
    <w:rsid w:val="00006D47"/>
    <w:rsid w:val="00006DEC"/>
    <w:rsid w:val="00007B4D"/>
    <w:rsid w:val="0001059C"/>
    <w:rsid w:val="0001080B"/>
    <w:rsid w:val="00010C28"/>
    <w:rsid w:val="00011187"/>
    <w:rsid w:val="0001150F"/>
    <w:rsid w:val="00011605"/>
    <w:rsid w:val="000120A5"/>
    <w:rsid w:val="00012D6A"/>
    <w:rsid w:val="00014EDF"/>
    <w:rsid w:val="00015057"/>
    <w:rsid w:val="00016D89"/>
    <w:rsid w:val="00017058"/>
    <w:rsid w:val="000178E5"/>
    <w:rsid w:val="00017E30"/>
    <w:rsid w:val="00020954"/>
    <w:rsid w:val="00024C2E"/>
    <w:rsid w:val="00025EFE"/>
    <w:rsid w:val="00030393"/>
    <w:rsid w:val="000312FE"/>
    <w:rsid w:val="0003132F"/>
    <w:rsid w:val="0003193F"/>
    <w:rsid w:val="00031DD9"/>
    <w:rsid w:val="000333C6"/>
    <w:rsid w:val="00033951"/>
    <w:rsid w:val="00034BF4"/>
    <w:rsid w:val="00034C25"/>
    <w:rsid w:val="00035945"/>
    <w:rsid w:val="00041895"/>
    <w:rsid w:val="000420FD"/>
    <w:rsid w:val="00043371"/>
    <w:rsid w:val="00044427"/>
    <w:rsid w:val="00045E8D"/>
    <w:rsid w:val="00046447"/>
    <w:rsid w:val="00046D48"/>
    <w:rsid w:val="00050C75"/>
    <w:rsid w:val="000512AD"/>
    <w:rsid w:val="00053F4C"/>
    <w:rsid w:val="00055D0A"/>
    <w:rsid w:val="000565CD"/>
    <w:rsid w:val="0006086F"/>
    <w:rsid w:val="00060F67"/>
    <w:rsid w:val="00062ED9"/>
    <w:rsid w:val="00063AD1"/>
    <w:rsid w:val="00065606"/>
    <w:rsid w:val="000662A5"/>
    <w:rsid w:val="00066755"/>
    <w:rsid w:val="00066A77"/>
    <w:rsid w:val="00067A99"/>
    <w:rsid w:val="000700C3"/>
    <w:rsid w:val="00070649"/>
    <w:rsid w:val="00070F3D"/>
    <w:rsid w:val="0007104C"/>
    <w:rsid w:val="0007179C"/>
    <w:rsid w:val="0007215A"/>
    <w:rsid w:val="00075E9E"/>
    <w:rsid w:val="0007602D"/>
    <w:rsid w:val="000762C6"/>
    <w:rsid w:val="00076526"/>
    <w:rsid w:val="00077D5D"/>
    <w:rsid w:val="00080033"/>
    <w:rsid w:val="00080F5E"/>
    <w:rsid w:val="00081257"/>
    <w:rsid w:val="00081AB1"/>
    <w:rsid w:val="000823D6"/>
    <w:rsid w:val="0008269E"/>
    <w:rsid w:val="000853B2"/>
    <w:rsid w:val="00085DCF"/>
    <w:rsid w:val="0009012A"/>
    <w:rsid w:val="00090AD6"/>
    <w:rsid w:val="000912A7"/>
    <w:rsid w:val="00091D20"/>
    <w:rsid w:val="000924B1"/>
    <w:rsid w:val="000934D6"/>
    <w:rsid w:val="00094A78"/>
    <w:rsid w:val="00096CF6"/>
    <w:rsid w:val="00097836"/>
    <w:rsid w:val="000978F8"/>
    <w:rsid w:val="000A2858"/>
    <w:rsid w:val="000A400C"/>
    <w:rsid w:val="000A42BD"/>
    <w:rsid w:val="000A47B4"/>
    <w:rsid w:val="000A5062"/>
    <w:rsid w:val="000A694F"/>
    <w:rsid w:val="000A6A93"/>
    <w:rsid w:val="000A6B86"/>
    <w:rsid w:val="000A7690"/>
    <w:rsid w:val="000B0216"/>
    <w:rsid w:val="000B07A7"/>
    <w:rsid w:val="000B2913"/>
    <w:rsid w:val="000B294A"/>
    <w:rsid w:val="000B4B46"/>
    <w:rsid w:val="000B582A"/>
    <w:rsid w:val="000B68C8"/>
    <w:rsid w:val="000B701D"/>
    <w:rsid w:val="000C0218"/>
    <w:rsid w:val="000C23C6"/>
    <w:rsid w:val="000C2D2C"/>
    <w:rsid w:val="000C58A1"/>
    <w:rsid w:val="000C66EC"/>
    <w:rsid w:val="000C6B16"/>
    <w:rsid w:val="000C7164"/>
    <w:rsid w:val="000C71B5"/>
    <w:rsid w:val="000D2043"/>
    <w:rsid w:val="000D34DA"/>
    <w:rsid w:val="000D3E1E"/>
    <w:rsid w:val="000D4366"/>
    <w:rsid w:val="000D4449"/>
    <w:rsid w:val="000D52A5"/>
    <w:rsid w:val="000D5539"/>
    <w:rsid w:val="000D5FA2"/>
    <w:rsid w:val="000D65FF"/>
    <w:rsid w:val="000D7F84"/>
    <w:rsid w:val="000E054A"/>
    <w:rsid w:val="000E092A"/>
    <w:rsid w:val="000E0B8F"/>
    <w:rsid w:val="000E0F59"/>
    <w:rsid w:val="000E102F"/>
    <w:rsid w:val="000E1AA9"/>
    <w:rsid w:val="000E1AF3"/>
    <w:rsid w:val="000E2049"/>
    <w:rsid w:val="000E2512"/>
    <w:rsid w:val="000E28BF"/>
    <w:rsid w:val="000E3013"/>
    <w:rsid w:val="000E3A3B"/>
    <w:rsid w:val="000E3DE8"/>
    <w:rsid w:val="000E3ED8"/>
    <w:rsid w:val="000E4625"/>
    <w:rsid w:val="000E4852"/>
    <w:rsid w:val="000E584B"/>
    <w:rsid w:val="000F295F"/>
    <w:rsid w:val="000F3567"/>
    <w:rsid w:val="000F4CD1"/>
    <w:rsid w:val="000F566D"/>
    <w:rsid w:val="000F5B74"/>
    <w:rsid w:val="000F5F8B"/>
    <w:rsid w:val="000F67DB"/>
    <w:rsid w:val="000F6E9A"/>
    <w:rsid w:val="000F75C6"/>
    <w:rsid w:val="00100C57"/>
    <w:rsid w:val="001015FC"/>
    <w:rsid w:val="00101D0A"/>
    <w:rsid w:val="001032C3"/>
    <w:rsid w:val="00103655"/>
    <w:rsid w:val="001045A1"/>
    <w:rsid w:val="00104B63"/>
    <w:rsid w:val="001053FF"/>
    <w:rsid w:val="001068DB"/>
    <w:rsid w:val="00106975"/>
    <w:rsid w:val="00106E78"/>
    <w:rsid w:val="00107A23"/>
    <w:rsid w:val="0011000B"/>
    <w:rsid w:val="00110E3F"/>
    <w:rsid w:val="00111154"/>
    <w:rsid w:val="0011123A"/>
    <w:rsid w:val="00112A70"/>
    <w:rsid w:val="0011395A"/>
    <w:rsid w:val="00114C78"/>
    <w:rsid w:val="00114E27"/>
    <w:rsid w:val="0011538F"/>
    <w:rsid w:val="0011566E"/>
    <w:rsid w:val="00115B57"/>
    <w:rsid w:val="001177DF"/>
    <w:rsid w:val="0012020B"/>
    <w:rsid w:val="00121A62"/>
    <w:rsid w:val="00121C96"/>
    <w:rsid w:val="001221B5"/>
    <w:rsid w:val="001226B1"/>
    <w:rsid w:val="001233B2"/>
    <w:rsid w:val="00123F20"/>
    <w:rsid w:val="00124BB5"/>
    <w:rsid w:val="00124EAC"/>
    <w:rsid w:val="0012569A"/>
    <w:rsid w:val="00126331"/>
    <w:rsid w:val="001303C2"/>
    <w:rsid w:val="0013110B"/>
    <w:rsid w:val="00131588"/>
    <w:rsid w:val="0013185A"/>
    <w:rsid w:val="00131CA1"/>
    <w:rsid w:val="00131E91"/>
    <w:rsid w:val="00132B67"/>
    <w:rsid w:val="00133108"/>
    <w:rsid w:val="001337F2"/>
    <w:rsid w:val="00133B55"/>
    <w:rsid w:val="00134124"/>
    <w:rsid w:val="001348B5"/>
    <w:rsid w:val="00134C93"/>
    <w:rsid w:val="00135A70"/>
    <w:rsid w:val="001373F6"/>
    <w:rsid w:val="00137A9A"/>
    <w:rsid w:val="00137E15"/>
    <w:rsid w:val="001413A6"/>
    <w:rsid w:val="0014366E"/>
    <w:rsid w:val="00145C95"/>
    <w:rsid w:val="001473EA"/>
    <w:rsid w:val="00151362"/>
    <w:rsid w:val="00152148"/>
    <w:rsid w:val="0015261C"/>
    <w:rsid w:val="001540B3"/>
    <w:rsid w:val="00154627"/>
    <w:rsid w:val="00154A8C"/>
    <w:rsid w:val="00154F7E"/>
    <w:rsid w:val="001550CB"/>
    <w:rsid w:val="00157CEA"/>
    <w:rsid w:val="00157D32"/>
    <w:rsid w:val="00161335"/>
    <w:rsid w:val="00161B80"/>
    <w:rsid w:val="00161F9D"/>
    <w:rsid w:val="00162314"/>
    <w:rsid w:val="00162C7F"/>
    <w:rsid w:val="00162D7E"/>
    <w:rsid w:val="00167823"/>
    <w:rsid w:val="00170062"/>
    <w:rsid w:val="0017045E"/>
    <w:rsid w:val="00171AB4"/>
    <w:rsid w:val="00171BED"/>
    <w:rsid w:val="0017238A"/>
    <w:rsid w:val="00173C58"/>
    <w:rsid w:val="00173CD4"/>
    <w:rsid w:val="00174178"/>
    <w:rsid w:val="00174638"/>
    <w:rsid w:val="00174B43"/>
    <w:rsid w:val="00174BA8"/>
    <w:rsid w:val="001755AC"/>
    <w:rsid w:val="00175691"/>
    <w:rsid w:val="00175D18"/>
    <w:rsid w:val="0017740E"/>
    <w:rsid w:val="00177523"/>
    <w:rsid w:val="001778C3"/>
    <w:rsid w:val="00177B02"/>
    <w:rsid w:val="00177C71"/>
    <w:rsid w:val="00180B66"/>
    <w:rsid w:val="00181CFD"/>
    <w:rsid w:val="001823F2"/>
    <w:rsid w:val="00182956"/>
    <w:rsid w:val="0018326D"/>
    <w:rsid w:val="0018358B"/>
    <w:rsid w:val="001837F3"/>
    <w:rsid w:val="001870E7"/>
    <w:rsid w:val="00187AC9"/>
    <w:rsid w:val="00191944"/>
    <w:rsid w:val="00192021"/>
    <w:rsid w:val="0019256C"/>
    <w:rsid w:val="00192F93"/>
    <w:rsid w:val="001937FF"/>
    <w:rsid w:val="001958BD"/>
    <w:rsid w:val="001965BF"/>
    <w:rsid w:val="001966C7"/>
    <w:rsid w:val="001973A3"/>
    <w:rsid w:val="0019746A"/>
    <w:rsid w:val="001977BA"/>
    <w:rsid w:val="001A08BD"/>
    <w:rsid w:val="001A2BBB"/>
    <w:rsid w:val="001A4169"/>
    <w:rsid w:val="001A4351"/>
    <w:rsid w:val="001A457C"/>
    <w:rsid w:val="001A4624"/>
    <w:rsid w:val="001A5317"/>
    <w:rsid w:val="001A532C"/>
    <w:rsid w:val="001A5350"/>
    <w:rsid w:val="001A5D75"/>
    <w:rsid w:val="001A619E"/>
    <w:rsid w:val="001A6C9E"/>
    <w:rsid w:val="001A6FFA"/>
    <w:rsid w:val="001A7D6B"/>
    <w:rsid w:val="001B0751"/>
    <w:rsid w:val="001B08E3"/>
    <w:rsid w:val="001B1528"/>
    <w:rsid w:val="001B4966"/>
    <w:rsid w:val="001B4C03"/>
    <w:rsid w:val="001B6942"/>
    <w:rsid w:val="001B6C1E"/>
    <w:rsid w:val="001B71E1"/>
    <w:rsid w:val="001C1CAF"/>
    <w:rsid w:val="001C2217"/>
    <w:rsid w:val="001C39DC"/>
    <w:rsid w:val="001C3E21"/>
    <w:rsid w:val="001C5D67"/>
    <w:rsid w:val="001C6DDA"/>
    <w:rsid w:val="001C6DDE"/>
    <w:rsid w:val="001D1212"/>
    <w:rsid w:val="001D15F3"/>
    <w:rsid w:val="001D1A95"/>
    <w:rsid w:val="001D2E4C"/>
    <w:rsid w:val="001D55F5"/>
    <w:rsid w:val="001D5FF4"/>
    <w:rsid w:val="001D647E"/>
    <w:rsid w:val="001D763A"/>
    <w:rsid w:val="001E2411"/>
    <w:rsid w:val="001E3364"/>
    <w:rsid w:val="001E3474"/>
    <w:rsid w:val="001E4B83"/>
    <w:rsid w:val="001E59F7"/>
    <w:rsid w:val="001E5F81"/>
    <w:rsid w:val="001E62DE"/>
    <w:rsid w:val="001E6577"/>
    <w:rsid w:val="001E7EB1"/>
    <w:rsid w:val="001F1212"/>
    <w:rsid w:val="001F192C"/>
    <w:rsid w:val="001F2D8D"/>
    <w:rsid w:val="001F2F8B"/>
    <w:rsid w:val="001F40B8"/>
    <w:rsid w:val="001F5BB3"/>
    <w:rsid w:val="001F5C52"/>
    <w:rsid w:val="001F70B8"/>
    <w:rsid w:val="001F76FD"/>
    <w:rsid w:val="001F7AE9"/>
    <w:rsid w:val="00200E09"/>
    <w:rsid w:val="00201072"/>
    <w:rsid w:val="0020111E"/>
    <w:rsid w:val="00202511"/>
    <w:rsid w:val="00202B7D"/>
    <w:rsid w:val="00203EF0"/>
    <w:rsid w:val="002044A1"/>
    <w:rsid w:val="00205130"/>
    <w:rsid w:val="00205268"/>
    <w:rsid w:val="0020646D"/>
    <w:rsid w:val="002068DE"/>
    <w:rsid w:val="00206C9F"/>
    <w:rsid w:val="002106EC"/>
    <w:rsid w:val="00210F62"/>
    <w:rsid w:val="00211B3D"/>
    <w:rsid w:val="00211C20"/>
    <w:rsid w:val="00212007"/>
    <w:rsid w:val="00212204"/>
    <w:rsid w:val="00213E08"/>
    <w:rsid w:val="00213F3C"/>
    <w:rsid w:val="00213FBB"/>
    <w:rsid w:val="00214324"/>
    <w:rsid w:val="00214472"/>
    <w:rsid w:val="00214824"/>
    <w:rsid w:val="0021489E"/>
    <w:rsid w:val="00214C65"/>
    <w:rsid w:val="00216E42"/>
    <w:rsid w:val="00220A46"/>
    <w:rsid w:val="00220FDB"/>
    <w:rsid w:val="002216CC"/>
    <w:rsid w:val="00222FDB"/>
    <w:rsid w:val="002230BC"/>
    <w:rsid w:val="00223B56"/>
    <w:rsid w:val="0022447B"/>
    <w:rsid w:val="00224607"/>
    <w:rsid w:val="00224700"/>
    <w:rsid w:val="00224980"/>
    <w:rsid w:val="00224C9F"/>
    <w:rsid w:val="00224DA7"/>
    <w:rsid w:val="002278FB"/>
    <w:rsid w:val="00230BC0"/>
    <w:rsid w:val="002314BF"/>
    <w:rsid w:val="002325E5"/>
    <w:rsid w:val="0023299B"/>
    <w:rsid w:val="00232B4A"/>
    <w:rsid w:val="00233592"/>
    <w:rsid w:val="00234ADE"/>
    <w:rsid w:val="00234D3B"/>
    <w:rsid w:val="002353E2"/>
    <w:rsid w:val="00235FEE"/>
    <w:rsid w:val="002369FB"/>
    <w:rsid w:val="00237B3D"/>
    <w:rsid w:val="00240257"/>
    <w:rsid w:val="00240E39"/>
    <w:rsid w:val="00242B74"/>
    <w:rsid w:val="00242D75"/>
    <w:rsid w:val="00242DA4"/>
    <w:rsid w:val="0024304D"/>
    <w:rsid w:val="002433C5"/>
    <w:rsid w:val="0024342F"/>
    <w:rsid w:val="00243A5C"/>
    <w:rsid w:val="00244BD4"/>
    <w:rsid w:val="002453BC"/>
    <w:rsid w:val="00245B65"/>
    <w:rsid w:val="00246D86"/>
    <w:rsid w:val="002476A8"/>
    <w:rsid w:val="00247E56"/>
    <w:rsid w:val="00251B33"/>
    <w:rsid w:val="002523C9"/>
    <w:rsid w:val="0025286E"/>
    <w:rsid w:val="0025313E"/>
    <w:rsid w:val="00253201"/>
    <w:rsid w:val="00253A78"/>
    <w:rsid w:val="00254540"/>
    <w:rsid w:val="00255693"/>
    <w:rsid w:val="0025570E"/>
    <w:rsid w:val="002602BD"/>
    <w:rsid w:val="00261BA2"/>
    <w:rsid w:val="00262375"/>
    <w:rsid w:val="002623A5"/>
    <w:rsid w:val="00262779"/>
    <w:rsid w:val="0026338D"/>
    <w:rsid w:val="002635A6"/>
    <w:rsid w:val="00263DF8"/>
    <w:rsid w:val="002649B2"/>
    <w:rsid w:val="00265398"/>
    <w:rsid w:val="00267081"/>
    <w:rsid w:val="00267FDF"/>
    <w:rsid w:val="002703F1"/>
    <w:rsid w:val="00271700"/>
    <w:rsid w:val="002717D8"/>
    <w:rsid w:val="00272D82"/>
    <w:rsid w:val="002738F1"/>
    <w:rsid w:val="0027469E"/>
    <w:rsid w:val="002750FD"/>
    <w:rsid w:val="00275145"/>
    <w:rsid w:val="0027578A"/>
    <w:rsid w:val="00276154"/>
    <w:rsid w:val="00276BD6"/>
    <w:rsid w:val="00277BFF"/>
    <w:rsid w:val="00280A78"/>
    <w:rsid w:val="00280CD0"/>
    <w:rsid w:val="0028400F"/>
    <w:rsid w:val="00284458"/>
    <w:rsid w:val="0028586A"/>
    <w:rsid w:val="00286A25"/>
    <w:rsid w:val="00286BA5"/>
    <w:rsid w:val="00286DC9"/>
    <w:rsid w:val="00290A92"/>
    <w:rsid w:val="00291061"/>
    <w:rsid w:val="002922EA"/>
    <w:rsid w:val="00292D49"/>
    <w:rsid w:val="0029357B"/>
    <w:rsid w:val="00293728"/>
    <w:rsid w:val="00294E91"/>
    <w:rsid w:val="00295972"/>
    <w:rsid w:val="002A0AA9"/>
    <w:rsid w:val="002A1EC3"/>
    <w:rsid w:val="002A3EE6"/>
    <w:rsid w:val="002A4C68"/>
    <w:rsid w:val="002A53FD"/>
    <w:rsid w:val="002A5763"/>
    <w:rsid w:val="002A57BA"/>
    <w:rsid w:val="002A601B"/>
    <w:rsid w:val="002A6749"/>
    <w:rsid w:val="002A6B01"/>
    <w:rsid w:val="002A7BE1"/>
    <w:rsid w:val="002B01F9"/>
    <w:rsid w:val="002B05A0"/>
    <w:rsid w:val="002B18A8"/>
    <w:rsid w:val="002B26D1"/>
    <w:rsid w:val="002B296C"/>
    <w:rsid w:val="002B3103"/>
    <w:rsid w:val="002B3F82"/>
    <w:rsid w:val="002B459C"/>
    <w:rsid w:val="002B5123"/>
    <w:rsid w:val="002B55F1"/>
    <w:rsid w:val="002B5F27"/>
    <w:rsid w:val="002B6C47"/>
    <w:rsid w:val="002B77C4"/>
    <w:rsid w:val="002B79B6"/>
    <w:rsid w:val="002C0C13"/>
    <w:rsid w:val="002C2A11"/>
    <w:rsid w:val="002C2C0C"/>
    <w:rsid w:val="002C3A10"/>
    <w:rsid w:val="002C4BB3"/>
    <w:rsid w:val="002C6771"/>
    <w:rsid w:val="002C7278"/>
    <w:rsid w:val="002C7DD6"/>
    <w:rsid w:val="002D1400"/>
    <w:rsid w:val="002D1606"/>
    <w:rsid w:val="002D1968"/>
    <w:rsid w:val="002D1D3D"/>
    <w:rsid w:val="002D24AF"/>
    <w:rsid w:val="002D2989"/>
    <w:rsid w:val="002D374B"/>
    <w:rsid w:val="002D3AE2"/>
    <w:rsid w:val="002D4C56"/>
    <w:rsid w:val="002D6D65"/>
    <w:rsid w:val="002D7194"/>
    <w:rsid w:val="002D754C"/>
    <w:rsid w:val="002E0A4A"/>
    <w:rsid w:val="002E26C5"/>
    <w:rsid w:val="002E2BE7"/>
    <w:rsid w:val="002E320D"/>
    <w:rsid w:val="002E3C9A"/>
    <w:rsid w:val="002E4BBD"/>
    <w:rsid w:val="002E6281"/>
    <w:rsid w:val="002E714F"/>
    <w:rsid w:val="002F0430"/>
    <w:rsid w:val="002F0478"/>
    <w:rsid w:val="002F15FB"/>
    <w:rsid w:val="002F1ED1"/>
    <w:rsid w:val="002F2A12"/>
    <w:rsid w:val="002F37C7"/>
    <w:rsid w:val="002F41D7"/>
    <w:rsid w:val="002F4533"/>
    <w:rsid w:val="002F47C1"/>
    <w:rsid w:val="002F60C2"/>
    <w:rsid w:val="002F7BD4"/>
    <w:rsid w:val="00300918"/>
    <w:rsid w:val="00300F9D"/>
    <w:rsid w:val="00301FB0"/>
    <w:rsid w:val="00302A45"/>
    <w:rsid w:val="00302BE0"/>
    <w:rsid w:val="00302C09"/>
    <w:rsid w:val="00303293"/>
    <w:rsid w:val="00303C26"/>
    <w:rsid w:val="0030472F"/>
    <w:rsid w:val="00304982"/>
    <w:rsid w:val="00305D6C"/>
    <w:rsid w:val="003061D9"/>
    <w:rsid w:val="00307EC5"/>
    <w:rsid w:val="00310C48"/>
    <w:rsid w:val="003125F6"/>
    <w:rsid w:val="00312E15"/>
    <w:rsid w:val="00313388"/>
    <w:rsid w:val="0031513A"/>
    <w:rsid w:val="00315C48"/>
    <w:rsid w:val="00317CDE"/>
    <w:rsid w:val="00317FE8"/>
    <w:rsid w:val="00320396"/>
    <w:rsid w:val="00320547"/>
    <w:rsid w:val="00320586"/>
    <w:rsid w:val="00321290"/>
    <w:rsid w:val="00321C15"/>
    <w:rsid w:val="00322DBF"/>
    <w:rsid w:val="0032303A"/>
    <w:rsid w:val="00325590"/>
    <w:rsid w:val="00325621"/>
    <w:rsid w:val="00326374"/>
    <w:rsid w:val="00326453"/>
    <w:rsid w:val="003270AA"/>
    <w:rsid w:val="00327372"/>
    <w:rsid w:val="00327976"/>
    <w:rsid w:val="00331A50"/>
    <w:rsid w:val="003326A7"/>
    <w:rsid w:val="00333673"/>
    <w:rsid w:val="0033435E"/>
    <w:rsid w:val="003345F9"/>
    <w:rsid w:val="003358D6"/>
    <w:rsid w:val="00335C1B"/>
    <w:rsid w:val="00335C8D"/>
    <w:rsid w:val="00335C8F"/>
    <w:rsid w:val="00336B89"/>
    <w:rsid w:val="00336D75"/>
    <w:rsid w:val="003418F4"/>
    <w:rsid w:val="00341928"/>
    <w:rsid w:val="00341C2F"/>
    <w:rsid w:val="00342041"/>
    <w:rsid w:val="003424D6"/>
    <w:rsid w:val="003428CF"/>
    <w:rsid w:val="00343294"/>
    <w:rsid w:val="0034397E"/>
    <w:rsid w:val="00345AAB"/>
    <w:rsid w:val="00346375"/>
    <w:rsid w:val="00347229"/>
    <w:rsid w:val="00347970"/>
    <w:rsid w:val="00347B24"/>
    <w:rsid w:val="003508A4"/>
    <w:rsid w:val="00350A13"/>
    <w:rsid w:val="0035294B"/>
    <w:rsid w:val="00355086"/>
    <w:rsid w:val="003553A9"/>
    <w:rsid w:val="003553D2"/>
    <w:rsid w:val="0035604C"/>
    <w:rsid w:val="003606E4"/>
    <w:rsid w:val="0036075D"/>
    <w:rsid w:val="00360DD7"/>
    <w:rsid w:val="00362502"/>
    <w:rsid w:val="003631BB"/>
    <w:rsid w:val="0036352A"/>
    <w:rsid w:val="0036542D"/>
    <w:rsid w:val="0036580C"/>
    <w:rsid w:val="003660FB"/>
    <w:rsid w:val="00367479"/>
    <w:rsid w:val="0037041D"/>
    <w:rsid w:val="0037120E"/>
    <w:rsid w:val="003718CC"/>
    <w:rsid w:val="00372A08"/>
    <w:rsid w:val="00374549"/>
    <w:rsid w:val="00376767"/>
    <w:rsid w:val="00377C38"/>
    <w:rsid w:val="003803F0"/>
    <w:rsid w:val="00380EA4"/>
    <w:rsid w:val="003811BC"/>
    <w:rsid w:val="00381EF9"/>
    <w:rsid w:val="00383394"/>
    <w:rsid w:val="00383B2A"/>
    <w:rsid w:val="00384006"/>
    <w:rsid w:val="0038444E"/>
    <w:rsid w:val="003844CC"/>
    <w:rsid w:val="00385031"/>
    <w:rsid w:val="00385E75"/>
    <w:rsid w:val="003873E0"/>
    <w:rsid w:val="00387962"/>
    <w:rsid w:val="00391392"/>
    <w:rsid w:val="00393E15"/>
    <w:rsid w:val="00396202"/>
    <w:rsid w:val="00396CAF"/>
    <w:rsid w:val="00397C81"/>
    <w:rsid w:val="00397EBF"/>
    <w:rsid w:val="003A09EE"/>
    <w:rsid w:val="003A3273"/>
    <w:rsid w:val="003A38A9"/>
    <w:rsid w:val="003A4644"/>
    <w:rsid w:val="003A4A23"/>
    <w:rsid w:val="003A59A4"/>
    <w:rsid w:val="003B0117"/>
    <w:rsid w:val="003B0236"/>
    <w:rsid w:val="003B0AB4"/>
    <w:rsid w:val="003B164E"/>
    <w:rsid w:val="003B1AF9"/>
    <w:rsid w:val="003B2761"/>
    <w:rsid w:val="003B29E4"/>
    <w:rsid w:val="003B2D60"/>
    <w:rsid w:val="003B2F69"/>
    <w:rsid w:val="003B31AA"/>
    <w:rsid w:val="003B398D"/>
    <w:rsid w:val="003B3EC1"/>
    <w:rsid w:val="003B5A73"/>
    <w:rsid w:val="003B67FE"/>
    <w:rsid w:val="003B683A"/>
    <w:rsid w:val="003B792A"/>
    <w:rsid w:val="003C13B6"/>
    <w:rsid w:val="003C2A8E"/>
    <w:rsid w:val="003C2F34"/>
    <w:rsid w:val="003C38F8"/>
    <w:rsid w:val="003C39B2"/>
    <w:rsid w:val="003C4B7A"/>
    <w:rsid w:val="003C616F"/>
    <w:rsid w:val="003C64D0"/>
    <w:rsid w:val="003C6569"/>
    <w:rsid w:val="003C6B0E"/>
    <w:rsid w:val="003C6F33"/>
    <w:rsid w:val="003D28E0"/>
    <w:rsid w:val="003D32C3"/>
    <w:rsid w:val="003D3CE7"/>
    <w:rsid w:val="003D3EEF"/>
    <w:rsid w:val="003D46CB"/>
    <w:rsid w:val="003D4809"/>
    <w:rsid w:val="003D63C3"/>
    <w:rsid w:val="003E0A91"/>
    <w:rsid w:val="003E0C99"/>
    <w:rsid w:val="003E3294"/>
    <w:rsid w:val="003E363D"/>
    <w:rsid w:val="003E3A15"/>
    <w:rsid w:val="003E49DB"/>
    <w:rsid w:val="003E683E"/>
    <w:rsid w:val="003E774C"/>
    <w:rsid w:val="003E7F01"/>
    <w:rsid w:val="003F2637"/>
    <w:rsid w:val="003F26C2"/>
    <w:rsid w:val="003F4849"/>
    <w:rsid w:val="003F56F8"/>
    <w:rsid w:val="003F6060"/>
    <w:rsid w:val="003F60C8"/>
    <w:rsid w:val="003F70FF"/>
    <w:rsid w:val="00401578"/>
    <w:rsid w:val="0040194D"/>
    <w:rsid w:val="00402238"/>
    <w:rsid w:val="00402628"/>
    <w:rsid w:val="00402F5A"/>
    <w:rsid w:val="00403BFF"/>
    <w:rsid w:val="00405041"/>
    <w:rsid w:val="00405CB8"/>
    <w:rsid w:val="00405ECA"/>
    <w:rsid w:val="00406130"/>
    <w:rsid w:val="00406671"/>
    <w:rsid w:val="00406D67"/>
    <w:rsid w:val="00406EBE"/>
    <w:rsid w:val="00407293"/>
    <w:rsid w:val="00407337"/>
    <w:rsid w:val="004077C6"/>
    <w:rsid w:val="00407F72"/>
    <w:rsid w:val="004104F0"/>
    <w:rsid w:val="0041088F"/>
    <w:rsid w:val="00410D06"/>
    <w:rsid w:val="00410F75"/>
    <w:rsid w:val="00411BBD"/>
    <w:rsid w:val="00412E98"/>
    <w:rsid w:val="00413A94"/>
    <w:rsid w:val="004140D1"/>
    <w:rsid w:val="004149A8"/>
    <w:rsid w:val="004150C8"/>
    <w:rsid w:val="0042016F"/>
    <w:rsid w:val="00422DB4"/>
    <w:rsid w:val="00423DC3"/>
    <w:rsid w:val="00424A34"/>
    <w:rsid w:val="00425142"/>
    <w:rsid w:val="00426581"/>
    <w:rsid w:val="0042669D"/>
    <w:rsid w:val="0042739A"/>
    <w:rsid w:val="00430926"/>
    <w:rsid w:val="00430CE4"/>
    <w:rsid w:val="004311B3"/>
    <w:rsid w:val="00431A79"/>
    <w:rsid w:val="00431AB5"/>
    <w:rsid w:val="00431DE7"/>
    <w:rsid w:val="0043260E"/>
    <w:rsid w:val="004326F0"/>
    <w:rsid w:val="00433A8B"/>
    <w:rsid w:val="00433F7F"/>
    <w:rsid w:val="00434567"/>
    <w:rsid w:val="00436620"/>
    <w:rsid w:val="00436898"/>
    <w:rsid w:val="00440563"/>
    <w:rsid w:val="004433BF"/>
    <w:rsid w:val="00443BD4"/>
    <w:rsid w:val="00444011"/>
    <w:rsid w:val="00444DAE"/>
    <w:rsid w:val="00447A17"/>
    <w:rsid w:val="004516D1"/>
    <w:rsid w:val="004538CF"/>
    <w:rsid w:val="00453A8C"/>
    <w:rsid w:val="00457152"/>
    <w:rsid w:val="004574D0"/>
    <w:rsid w:val="00461A24"/>
    <w:rsid w:val="004626D3"/>
    <w:rsid w:val="00465C4E"/>
    <w:rsid w:val="00465D57"/>
    <w:rsid w:val="00465EAB"/>
    <w:rsid w:val="00465FAB"/>
    <w:rsid w:val="00466811"/>
    <w:rsid w:val="00467851"/>
    <w:rsid w:val="00467D70"/>
    <w:rsid w:val="00467F05"/>
    <w:rsid w:val="00467F6B"/>
    <w:rsid w:val="00471C79"/>
    <w:rsid w:val="00472027"/>
    <w:rsid w:val="00472CD2"/>
    <w:rsid w:val="00474B1C"/>
    <w:rsid w:val="004760BB"/>
    <w:rsid w:val="004829E2"/>
    <w:rsid w:val="00484AE4"/>
    <w:rsid w:val="004856D9"/>
    <w:rsid w:val="004873B3"/>
    <w:rsid w:val="004876A8"/>
    <w:rsid w:val="00487E6A"/>
    <w:rsid w:val="00490288"/>
    <w:rsid w:val="00491C3B"/>
    <w:rsid w:val="0049276C"/>
    <w:rsid w:val="00494555"/>
    <w:rsid w:val="00494709"/>
    <w:rsid w:val="004A049F"/>
    <w:rsid w:val="004A2708"/>
    <w:rsid w:val="004A34BD"/>
    <w:rsid w:val="004A3534"/>
    <w:rsid w:val="004A3B29"/>
    <w:rsid w:val="004A47AE"/>
    <w:rsid w:val="004A574E"/>
    <w:rsid w:val="004A58F3"/>
    <w:rsid w:val="004A59D0"/>
    <w:rsid w:val="004A6B71"/>
    <w:rsid w:val="004A7922"/>
    <w:rsid w:val="004B1D82"/>
    <w:rsid w:val="004B2B48"/>
    <w:rsid w:val="004B302B"/>
    <w:rsid w:val="004B57E3"/>
    <w:rsid w:val="004B6633"/>
    <w:rsid w:val="004B680C"/>
    <w:rsid w:val="004B6A64"/>
    <w:rsid w:val="004B6F16"/>
    <w:rsid w:val="004B75E7"/>
    <w:rsid w:val="004B7AA1"/>
    <w:rsid w:val="004C0C53"/>
    <w:rsid w:val="004C1215"/>
    <w:rsid w:val="004C140E"/>
    <w:rsid w:val="004C2A3C"/>
    <w:rsid w:val="004C3EF7"/>
    <w:rsid w:val="004C61CB"/>
    <w:rsid w:val="004C638F"/>
    <w:rsid w:val="004C6B1E"/>
    <w:rsid w:val="004C6CBF"/>
    <w:rsid w:val="004C6D0B"/>
    <w:rsid w:val="004D002F"/>
    <w:rsid w:val="004D02D1"/>
    <w:rsid w:val="004D11A3"/>
    <w:rsid w:val="004D2397"/>
    <w:rsid w:val="004D2ED1"/>
    <w:rsid w:val="004D387C"/>
    <w:rsid w:val="004D422C"/>
    <w:rsid w:val="004E0C78"/>
    <w:rsid w:val="004E11A5"/>
    <w:rsid w:val="004E2DD5"/>
    <w:rsid w:val="004E4A11"/>
    <w:rsid w:val="004E4ACC"/>
    <w:rsid w:val="004E5B08"/>
    <w:rsid w:val="004E5BEE"/>
    <w:rsid w:val="004E6D48"/>
    <w:rsid w:val="004E7495"/>
    <w:rsid w:val="004F18A3"/>
    <w:rsid w:val="004F198D"/>
    <w:rsid w:val="004F2A64"/>
    <w:rsid w:val="004F2A72"/>
    <w:rsid w:val="004F3B38"/>
    <w:rsid w:val="004F4135"/>
    <w:rsid w:val="004F466B"/>
    <w:rsid w:val="004F4871"/>
    <w:rsid w:val="004F499F"/>
    <w:rsid w:val="004F539F"/>
    <w:rsid w:val="004F59FE"/>
    <w:rsid w:val="004F6064"/>
    <w:rsid w:val="004F6179"/>
    <w:rsid w:val="004F620C"/>
    <w:rsid w:val="004F67E5"/>
    <w:rsid w:val="004F7FDD"/>
    <w:rsid w:val="00501883"/>
    <w:rsid w:val="00504EC0"/>
    <w:rsid w:val="00504FFF"/>
    <w:rsid w:val="005065C7"/>
    <w:rsid w:val="00507E51"/>
    <w:rsid w:val="00510F1C"/>
    <w:rsid w:val="005115A4"/>
    <w:rsid w:val="00512298"/>
    <w:rsid w:val="00512304"/>
    <w:rsid w:val="0051345B"/>
    <w:rsid w:val="00513901"/>
    <w:rsid w:val="00514431"/>
    <w:rsid w:val="00514506"/>
    <w:rsid w:val="00515226"/>
    <w:rsid w:val="005157BE"/>
    <w:rsid w:val="00515855"/>
    <w:rsid w:val="0051755B"/>
    <w:rsid w:val="00520119"/>
    <w:rsid w:val="00521A5F"/>
    <w:rsid w:val="00521E33"/>
    <w:rsid w:val="005237CD"/>
    <w:rsid w:val="00523AF0"/>
    <w:rsid w:val="00525B7B"/>
    <w:rsid w:val="005307BF"/>
    <w:rsid w:val="00530F90"/>
    <w:rsid w:val="005310AC"/>
    <w:rsid w:val="00531964"/>
    <w:rsid w:val="00531D07"/>
    <w:rsid w:val="0053239E"/>
    <w:rsid w:val="00533E3D"/>
    <w:rsid w:val="00534AC4"/>
    <w:rsid w:val="00535422"/>
    <w:rsid w:val="00535913"/>
    <w:rsid w:val="00535BCC"/>
    <w:rsid w:val="00536AB0"/>
    <w:rsid w:val="005372B6"/>
    <w:rsid w:val="00540011"/>
    <w:rsid w:val="005406A5"/>
    <w:rsid w:val="005408FF"/>
    <w:rsid w:val="0054243E"/>
    <w:rsid w:val="00543B8C"/>
    <w:rsid w:val="00543E18"/>
    <w:rsid w:val="0054658B"/>
    <w:rsid w:val="005474A8"/>
    <w:rsid w:val="00551857"/>
    <w:rsid w:val="005518F8"/>
    <w:rsid w:val="00552581"/>
    <w:rsid w:val="00552834"/>
    <w:rsid w:val="00553178"/>
    <w:rsid w:val="00553C3F"/>
    <w:rsid w:val="00555149"/>
    <w:rsid w:val="00555E58"/>
    <w:rsid w:val="005573C1"/>
    <w:rsid w:val="0055740B"/>
    <w:rsid w:val="00557C37"/>
    <w:rsid w:val="00560645"/>
    <w:rsid w:val="00561C4B"/>
    <w:rsid w:val="00561C90"/>
    <w:rsid w:val="0056209B"/>
    <w:rsid w:val="005623A5"/>
    <w:rsid w:val="005648C3"/>
    <w:rsid w:val="0056598B"/>
    <w:rsid w:val="00566176"/>
    <w:rsid w:val="0056661B"/>
    <w:rsid w:val="00567409"/>
    <w:rsid w:val="005675B1"/>
    <w:rsid w:val="005676C7"/>
    <w:rsid w:val="00570516"/>
    <w:rsid w:val="005712B7"/>
    <w:rsid w:val="005717CD"/>
    <w:rsid w:val="00571CED"/>
    <w:rsid w:val="00571DED"/>
    <w:rsid w:val="00573554"/>
    <w:rsid w:val="00574433"/>
    <w:rsid w:val="00577327"/>
    <w:rsid w:val="00577C9A"/>
    <w:rsid w:val="00580455"/>
    <w:rsid w:val="0058059E"/>
    <w:rsid w:val="0058081C"/>
    <w:rsid w:val="005812B8"/>
    <w:rsid w:val="00582B51"/>
    <w:rsid w:val="0058302A"/>
    <w:rsid w:val="005843EA"/>
    <w:rsid w:val="00584BE7"/>
    <w:rsid w:val="00584CF6"/>
    <w:rsid w:val="005859A9"/>
    <w:rsid w:val="00585C58"/>
    <w:rsid w:val="005865A4"/>
    <w:rsid w:val="00587E7A"/>
    <w:rsid w:val="00591BD3"/>
    <w:rsid w:val="00592AED"/>
    <w:rsid w:val="00593125"/>
    <w:rsid w:val="00593743"/>
    <w:rsid w:val="00593B32"/>
    <w:rsid w:val="0059516F"/>
    <w:rsid w:val="00595871"/>
    <w:rsid w:val="00595EEF"/>
    <w:rsid w:val="005962FD"/>
    <w:rsid w:val="00596414"/>
    <w:rsid w:val="005964AA"/>
    <w:rsid w:val="00596F30"/>
    <w:rsid w:val="00596FE4"/>
    <w:rsid w:val="00597714"/>
    <w:rsid w:val="00597795"/>
    <w:rsid w:val="005A0713"/>
    <w:rsid w:val="005A0A59"/>
    <w:rsid w:val="005A10C8"/>
    <w:rsid w:val="005A1CD2"/>
    <w:rsid w:val="005A1D35"/>
    <w:rsid w:val="005A2191"/>
    <w:rsid w:val="005A2211"/>
    <w:rsid w:val="005A2568"/>
    <w:rsid w:val="005A2875"/>
    <w:rsid w:val="005A4791"/>
    <w:rsid w:val="005A72F5"/>
    <w:rsid w:val="005B0443"/>
    <w:rsid w:val="005B058A"/>
    <w:rsid w:val="005B17EA"/>
    <w:rsid w:val="005B1C1D"/>
    <w:rsid w:val="005B2F07"/>
    <w:rsid w:val="005B2FB7"/>
    <w:rsid w:val="005B3FAD"/>
    <w:rsid w:val="005B4B6D"/>
    <w:rsid w:val="005B4E78"/>
    <w:rsid w:val="005B4F7D"/>
    <w:rsid w:val="005B5034"/>
    <w:rsid w:val="005B56EB"/>
    <w:rsid w:val="005B69AB"/>
    <w:rsid w:val="005B7298"/>
    <w:rsid w:val="005C0D10"/>
    <w:rsid w:val="005C1045"/>
    <w:rsid w:val="005C1672"/>
    <w:rsid w:val="005C3E25"/>
    <w:rsid w:val="005C423E"/>
    <w:rsid w:val="005C43DD"/>
    <w:rsid w:val="005C44EC"/>
    <w:rsid w:val="005C4DB1"/>
    <w:rsid w:val="005C53BB"/>
    <w:rsid w:val="005C598A"/>
    <w:rsid w:val="005C5B58"/>
    <w:rsid w:val="005C6A06"/>
    <w:rsid w:val="005C7007"/>
    <w:rsid w:val="005C732A"/>
    <w:rsid w:val="005C7D68"/>
    <w:rsid w:val="005D0401"/>
    <w:rsid w:val="005D2846"/>
    <w:rsid w:val="005D3B8A"/>
    <w:rsid w:val="005D3DDE"/>
    <w:rsid w:val="005D67F5"/>
    <w:rsid w:val="005D72B1"/>
    <w:rsid w:val="005E059B"/>
    <w:rsid w:val="005E0C64"/>
    <w:rsid w:val="005E113F"/>
    <w:rsid w:val="005E2FEF"/>
    <w:rsid w:val="005E443F"/>
    <w:rsid w:val="005E4C07"/>
    <w:rsid w:val="005E76B0"/>
    <w:rsid w:val="005E7EA8"/>
    <w:rsid w:val="005F1A05"/>
    <w:rsid w:val="005F38E2"/>
    <w:rsid w:val="005F4783"/>
    <w:rsid w:val="005F581B"/>
    <w:rsid w:val="005F62B6"/>
    <w:rsid w:val="005F643C"/>
    <w:rsid w:val="005F740E"/>
    <w:rsid w:val="0060039F"/>
    <w:rsid w:val="0060189A"/>
    <w:rsid w:val="006019F0"/>
    <w:rsid w:val="00602EF5"/>
    <w:rsid w:val="00603038"/>
    <w:rsid w:val="006039A6"/>
    <w:rsid w:val="00604748"/>
    <w:rsid w:val="00605EEA"/>
    <w:rsid w:val="006061CB"/>
    <w:rsid w:val="006069EB"/>
    <w:rsid w:val="006079BB"/>
    <w:rsid w:val="00611427"/>
    <w:rsid w:val="0061206F"/>
    <w:rsid w:val="0061229D"/>
    <w:rsid w:val="00612769"/>
    <w:rsid w:val="0061355F"/>
    <w:rsid w:val="0061574E"/>
    <w:rsid w:val="0061597F"/>
    <w:rsid w:val="00616627"/>
    <w:rsid w:val="00616F1A"/>
    <w:rsid w:val="006174A6"/>
    <w:rsid w:val="00617645"/>
    <w:rsid w:val="006179B5"/>
    <w:rsid w:val="00620733"/>
    <w:rsid w:val="00620DB2"/>
    <w:rsid w:val="0062172B"/>
    <w:rsid w:val="00624039"/>
    <w:rsid w:val="00624667"/>
    <w:rsid w:val="00624D88"/>
    <w:rsid w:val="006255B7"/>
    <w:rsid w:val="0062590A"/>
    <w:rsid w:val="00626DF7"/>
    <w:rsid w:val="00631649"/>
    <w:rsid w:val="00632A01"/>
    <w:rsid w:val="00632E0F"/>
    <w:rsid w:val="00632E61"/>
    <w:rsid w:val="0063396D"/>
    <w:rsid w:val="006341F4"/>
    <w:rsid w:val="006362AA"/>
    <w:rsid w:val="0063635B"/>
    <w:rsid w:val="00636AEF"/>
    <w:rsid w:val="006377A1"/>
    <w:rsid w:val="00637D53"/>
    <w:rsid w:val="00640A24"/>
    <w:rsid w:val="00641760"/>
    <w:rsid w:val="00641DC5"/>
    <w:rsid w:val="00642CCA"/>
    <w:rsid w:val="0064438B"/>
    <w:rsid w:val="00645596"/>
    <w:rsid w:val="0064652F"/>
    <w:rsid w:val="006466E9"/>
    <w:rsid w:val="0065062B"/>
    <w:rsid w:val="006510DD"/>
    <w:rsid w:val="0065187B"/>
    <w:rsid w:val="0065217A"/>
    <w:rsid w:val="00652335"/>
    <w:rsid w:val="006523FA"/>
    <w:rsid w:val="00652789"/>
    <w:rsid w:val="006536A9"/>
    <w:rsid w:val="00653798"/>
    <w:rsid w:val="006546D8"/>
    <w:rsid w:val="0065671A"/>
    <w:rsid w:val="0066187A"/>
    <w:rsid w:val="00661A1D"/>
    <w:rsid w:val="006634A0"/>
    <w:rsid w:val="00663979"/>
    <w:rsid w:val="00663D9C"/>
    <w:rsid w:val="00667822"/>
    <w:rsid w:val="00667A87"/>
    <w:rsid w:val="006729C2"/>
    <w:rsid w:val="00673CAA"/>
    <w:rsid w:val="006744DF"/>
    <w:rsid w:val="00674F37"/>
    <w:rsid w:val="00675B06"/>
    <w:rsid w:val="0067670E"/>
    <w:rsid w:val="0067695A"/>
    <w:rsid w:val="00677346"/>
    <w:rsid w:val="006807CC"/>
    <w:rsid w:val="00680A12"/>
    <w:rsid w:val="00680F40"/>
    <w:rsid w:val="0068241D"/>
    <w:rsid w:val="0068368C"/>
    <w:rsid w:val="00683F40"/>
    <w:rsid w:val="0068558B"/>
    <w:rsid w:val="006865F8"/>
    <w:rsid w:val="00686E82"/>
    <w:rsid w:val="0068772E"/>
    <w:rsid w:val="00687C71"/>
    <w:rsid w:val="00690005"/>
    <w:rsid w:val="0069041E"/>
    <w:rsid w:val="006925D1"/>
    <w:rsid w:val="00692A96"/>
    <w:rsid w:val="00693C0C"/>
    <w:rsid w:val="00693F1E"/>
    <w:rsid w:val="006943C2"/>
    <w:rsid w:val="00694D76"/>
    <w:rsid w:val="00696272"/>
    <w:rsid w:val="00696E2F"/>
    <w:rsid w:val="00697072"/>
    <w:rsid w:val="00697979"/>
    <w:rsid w:val="006A0911"/>
    <w:rsid w:val="006A0EB4"/>
    <w:rsid w:val="006A11AE"/>
    <w:rsid w:val="006A1763"/>
    <w:rsid w:val="006A1AEF"/>
    <w:rsid w:val="006A3281"/>
    <w:rsid w:val="006A3D1D"/>
    <w:rsid w:val="006A4D25"/>
    <w:rsid w:val="006A4DCC"/>
    <w:rsid w:val="006A56C8"/>
    <w:rsid w:val="006A5A7C"/>
    <w:rsid w:val="006A72E6"/>
    <w:rsid w:val="006A78B5"/>
    <w:rsid w:val="006B1C60"/>
    <w:rsid w:val="006B1E8B"/>
    <w:rsid w:val="006B24F8"/>
    <w:rsid w:val="006B2A78"/>
    <w:rsid w:val="006B3148"/>
    <w:rsid w:val="006B367B"/>
    <w:rsid w:val="006B395D"/>
    <w:rsid w:val="006B5228"/>
    <w:rsid w:val="006B542D"/>
    <w:rsid w:val="006B56EF"/>
    <w:rsid w:val="006B577F"/>
    <w:rsid w:val="006B5801"/>
    <w:rsid w:val="006B5EC0"/>
    <w:rsid w:val="006C0BA9"/>
    <w:rsid w:val="006C1B9B"/>
    <w:rsid w:val="006C2BBA"/>
    <w:rsid w:val="006C31FE"/>
    <w:rsid w:val="006C40CB"/>
    <w:rsid w:val="006C4911"/>
    <w:rsid w:val="006C79E8"/>
    <w:rsid w:val="006D017E"/>
    <w:rsid w:val="006D0291"/>
    <w:rsid w:val="006D1EAE"/>
    <w:rsid w:val="006D22A1"/>
    <w:rsid w:val="006D2C5F"/>
    <w:rsid w:val="006D2D31"/>
    <w:rsid w:val="006D3CFA"/>
    <w:rsid w:val="006D44D8"/>
    <w:rsid w:val="006D526E"/>
    <w:rsid w:val="006D5FF2"/>
    <w:rsid w:val="006D7A2A"/>
    <w:rsid w:val="006E1448"/>
    <w:rsid w:val="006E4C37"/>
    <w:rsid w:val="006E5103"/>
    <w:rsid w:val="006E5B17"/>
    <w:rsid w:val="006E5F38"/>
    <w:rsid w:val="006E6E1D"/>
    <w:rsid w:val="006E7E9A"/>
    <w:rsid w:val="006F0959"/>
    <w:rsid w:val="006F1499"/>
    <w:rsid w:val="006F2AD0"/>
    <w:rsid w:val="006F2C45"/>
    <w:rsid w:val="006F3724"/>
    <w:rsid w:val="006F3A8E"/>
    <w:rsid w:val="006F3B66"/>
    <w:rsid w:val="006F4CCF"/>
    <w:rsid w:val="006F5230"/>
    <w:rsid w:val="006F5242"/>
    <w:rsid w:val="006F5C5F"/>
    <w:rsid w:val="006F7DAA"/>
    <w:rsid w:val="00701289"/>
    <w:rsid w:val="007016A0"/>
    <w:rsid w:val="0070201A"/>
    <w:rsid w:val="00702F1E"/>
    <w:rsid w:val="00703624"/>
    <w:rsid w:val="00705076"/>
    <w:rsid w:val="00707089"/>
    <w:rsid w:val="00707A8C"/>
    <w:rsid w:val="007101DF"/>
    <w:rsid w:val="007116AC"/>
    <w:rsid w:val="00711AE3"/>
    <w:rsid w:val="00713068"/>
    <w:rsid w:val="00713B2A"/>
    <w:rsid w:val="0071556F"/>
    <w:rsid w:val="00717831"/>
    <w:rsid w:val="00720DEB"/>
    <w:rsid w:val="00721921"/>
    <w:rsid w:val="00722D66"/>
    <w:rsid w:val="00725366"/>
    <w:rsid w:val="00725EC1"/>
    <w:rsid w:val="00725FE3"/>
    <w:rsid w:val="00726547"/>
    <w:rsid w:val="00727316"/>
    <w:rsid w:val="0073091C"/>
    <w:rsid w:val="0073163E"/>
    <w:rsid w:val="00732169"/>
    <w:rsid w:val="00732F49"/>
    <w:rsid w:val="007337B3"/>
    <w:rsid w:val="0073441B"/>
    <w:rsid w:val="0073641F"/>
    <w:rsid w:val="0073686B"/>
    <w:rsid w:val="00737EF6"/>
    <w:rsid w:val="00740006"/>
    <w:rsid w:val="007405B4"/>
    <w:rsid w:val="007408E4"/>
    <w:rsid w:val="00741215"/>
    <w:rsid w:val="00744599"/>
    <w:rsid w:val="00745DFE"/>
    <w:rsid w:val="0074785C"/>
    <w:rsid w:val="00747C1E"/>
    <w:rsid w:val="00751F3C"/>
    <w:rsid w:val="00752291"/>
    <w:rsid w:val="007527D9"/>
    <w:rsid w:val="00753712"/>
    <w:rsid w:val="00754437"/>
    <w:rsid w:val="00754D9C"/>
    <w:rsid w:val="00756341"/>
    <w:rsid w:val="007565C5"/>
    <w:rsid w:val="0076061B"/>
    <w:rsid w:val="00761A02"/>
    <w:rsid w:val="00761B73"/>
    <w:rsid w:val="00761EF2"/>
    <w:rsid w:val="00762528"/>
    <w:rsid w:val="0076384A"/>
    <w:rsid w:val="00763CBE"/>
    <w:rsid w:val="007650EA"/>
    <w:rsid w:val="00765C7C"/>
    <w:rsid w:val="0076646B"/>
    <w:rsid w:val="0076717C"/>
    <w:rsid w:val="007674CA"/>
    <w:rsid w:val="007676FE"/>
    <w:rsid w:val="00771A3B"/>
    <w:rsid w:val="0077213D"/>
    <w:rsid w:val="00773939"/>
    <w:rsid w:val="00773E8E"/>
    <w:rsid w:val="007741EA"/>
    <w:rsid w:val="007749EE"/>
    <w:rsid w:val="00774D9A"/>
    <w:rsid w:val="00774F6E"/>
    <w:rsid w:val="00775ACF"/>
    <w:rsid w:val="00775CA0"/>
    <w:rsid w:val="00775EF7"/>
    <w:rsid w:val="00776873"/>
    <w:rsid w:val="00776AC5"/>
    <w:rsid w:val="00776CC6"/>
    <w:rsid w:val="00780BB2"/>
    <w:rsid w:val="007817F2"/>
    <w:rsid w:val="00782E63"/>
    <w:rsid w:val="0078584F"/>
    <w:rsid w:val="00785C3A"/>
    <w:rsid w:val="00786592"/>
    <w:rsid w:val="0078666A"/>
    <w:rsid w:val="00787315"/>
    <w:rsid w:val="007877FD"/>
    <w:rsid w:val="007879EB"/>
    <w:rsid w:val="007904D3"/>
    <w:rsid w:val="007909E0"/>
    <w:rsid w:val="00790FA3"/>
    <w:rsid w:val="007918E8"/>
    <w:rsid w:val="00792695"/>
    <w:rsid w:val="00793251"/>
    <w:rsid w:val="007966ED"/>
    <w:rsid w:val="00796895"/>
    <w:rsid w:val="007977B7"/>
    <w:rsid w:val="007A0EA0"/>
    <w:rsid w:val="007A12A9"/>
    <w:rsid w:val="007A1745"/>
    <w:rsid w:val="007A278C"/>
    <w:rsid w:val="007A2F1C"/>
    <w:rsid w:val="007A460C"/>
    <w:rsid w:val="007A51AA"/>
    <w:rsid w:val="007A6147"/>
    <w:rsid w:val="007A61F6"/>
    <w:rsid w:val="007A6840"/>
    <w:rsid w:val="007A69A2"/>
    <w:rsid w:val="007A6F0C"/>
    <w:rsid w:val="007B1B6D"/>
    <w:rsid w:val="007B229C"/>
    <w:rsid w:val="007B2793"/>
    <w:rsid w:val="007B2CC7"/>
    <w:rsid w:val="007B2E4D"/>
    <w:rsid w:val="007B2F2A"/>
    <w:rsid w:val="007B4A01"/>
    <w:rsid w:val="007B50DC"/>
    <w:rsid w:val="007B5317"/>
    <w:rsid w:val="007B5497"/>
    <w:rsid w:val="007B6FCB"/>
    <w:rsid w:val="007C0124"/>
    <w:rsid w:val="007C06B4"/>
    <w:rsid w:val="007C1CD2"/>
    <w:rsid w:val="007C2961"/>
    <w:rsid w:val="007C2978"/>
    <w:rsid w:val="007C4D6D"/>
    <w:rsid w:val="007C5682"/>
    <w:rsid w:val="007C5EF3"/>
    <w:rsid w:val="007C7974"/>
    <w:rsid w:val="007D0D0E"/>
    <w:rsid w:val="007D1A51"/>
    <w:rsid w:val="007D2D50"/>
    <w:rsid w:val="007D2DB8"/>
    <w:rsid w:val="007D3900"/>
    <w:rsid w:val="007D4E24"/>
    <w:rsid w:val="007D77D6"/>
    <w:rsid w:val="007D7C75"/>
    <w:rsid w:val="007D7EC2"/>
    <w:rsid w:val="007E0357"/>
    <w:rsid w:val="007E056A"/>
    <w:rsid w:val="007E08F2"/>
    <w:rsid w:val="007E0B85"/>
    <w:rsid w:val="007E1220"/>
    <w:rsid w:val="007E14C9"/>
    <w:rsid w:val="007E17DC"/>
    <w:rsid w:val="007E19AA"/>
    <w:rsid w:val="007E1D3D"/>
    <w:rsid w:val="007E2795"/>
    <w:rsid w:val="007E31E8"/>
    <w:rsid w:val="007E368B"/>
    <w:rsid w:val="007E3923"/>
    <w:rsid w:val="007E3CA9"/>
    <w:rsid w:val="007E49D5"/>
    <w:rsid w:val="007E4B30"/>
    <w:rsid w:val="007E4DDB"/>
    <w:rsid w:val="007E4DE1"/>
    <w:rsid w:val="007E5DA5"/>
    <w:rsid w:val="007E5EE8"/>
    <w:rsid w:val="007E76CF"/>
    <w:rsid w:val="007F0B90"/>
    <w:rsid w:val="007F1B17"/>
    <w:rsid w:val="007F32A0"/>
    <w:rsid w:val="007F384B"/>
    <w:rsid w:val="007F3DF5"/>
    <w:rsid w:val="007F43B5"/>
    <w:rsid w:val="007F45E4"/>
    <w:rsid w:val="007F4F04"/>
    <w:rsid w:val="007F5505"/>
    <w:rsid w:val="007F5BFB"/>
    <w:rsid w:val="00800177"/>
    <w:rsid w:val="00800451"/>
    <w:rsid w:val="00801274"/>
    <w:rsid w:val="00801D93"/>
    <w:rsid w:val="00804C61"/>
    <w:rsid w:val="00805F19"/>
    <w:rsid w:val="00805FC2"/>
    <w:rsid w:val="00805FD2"/>
    <w:rsid w:val="00806B60"/>
    <w:rsid w:val="00806BE6"/>
    <w:rsid w:val="00807281"/>
    <w:rsid w:val="00807A51"/>
    <w:rsid w:val="00810AC1"/>
    <w:rsid w:val="008119B9"/>
    <w:rsid w:val="00812021"/>
    <w:rsid w:val="008128C7"/>
    <w:rsid w:val="00813FEC"/>
    <w:rsid w:val="00814EF5"/>
    <w:rsid w:val="0081515C"/>
    <w:rsid w:val="0081556F"/>
    <w:rsid w:val="008158C9"/>
    <w:rsid w:val="00817E15"/>
    <w:rsid w:val="00820337"/>
    <w:rsid w:val="00823BBB"/>
    <w:rsid w:val="00823E05"/>
    <w:rsid w:val="00823E50"/>
    <w:rsid w:val="008263C9"/>
    <w:rsid w:val="0082677F"/>
    <w:rsid w:val="00826870"/>
    <w:rsid w:val="0082707F"/>
    <w:rsid w:val="008301D2"/>
    <w:rsid w:val="0083030D"/>
    <w:rsid w:val="00831777"/>
    <w:rsid w:val="0083389E"/>
    <w:rsid w:val="0083392D"/>
    <w:rsid w:val="0083541B"/>
    <w:rsid w:val="00835874"/>
    <w:rsid w:val="00835E48"/>
    <w:rsid w:val="008367B4"/>
    <w:rsid w:val="008373B4"/>
    <w:rsid w:val="00837CDD"/>
    <w:rsid w:val="0084077C"/>
    <w:rsid w:val="00842560"/>
    <w:rsid w:val="00842CA9"/>
    <w:rsid w:val="008435E8"/>
    <w:rsid w:val="008444A0"/>
    <w:rsid w:val="00844E3F"/>
    <w:rsid w:val="0084527C"/>
    <w:rsid w:val="00845654"/>
    <w:rsid w:val="00845EFD"/>
    <w:rsid w:val="00846B12"/>
    <w:rsid w:val="00847419"/>
    <w:rsid w:val="008518D7"/>
    <w:rsid w:val="008538BB"/>
    <w:rsid w:val="00853FA0"/>
    <w:rsid w:val="008543D4"/>
    <w:rsid w:val="00854589"/>
    <w:rsid w:val="0085529D"/>
    <w:rsid w:val="00855881"/>
    <w:rsid w:val="008558F2"/>
    <w:rsid w:val="00856C14"/>
    <w:rsid w:val="00860392"/>
    <w:rsid w:val="00860C7F"/>
    <w:rsid w:val="0086187C"/>
    <w:rsid w:val="00862115"/>
    <w:rsid w:val="00862DD9"/>
    <w:rsid w:val="008630DC"/>
    <w:rsid w:val="00864FDC"/>
    <w:rsid w:val="00865E2C"/>
    <w:rsid w:val="008661B0"/>
    <w:rsid w:val="00866A5C"/>
    <w:rsid w:val="00866BF3"/>
    <w:rsid w:val="00867780"/>
    <w:rsid w:val="0087117F"/>
    <w:rsid w:val="008712FA"/>
    <w:rsid w:val="008721EB"/>
    <w:rsid w:val="00875816"/>
    <w:rsid w:val="0087634A"/>
    <w:rsid w:val="00881016"/>
    <w:rsid w:val="008829F5"/>
    <w:rsid w:val="008834CA"/>
    <w:rsid w:val="0088404E"/>
    <w:rsid w:val="0088527B"/>
    <w:rsid w:val="00885436"/>
    <w:rsid w:val="00885539"/>
    <w:rsid w:val="0088572C"/>
    <w:rsid w:val="008916F0"/>
    <w:rsid w:val="00893857"/>
    <w:rsid w:val="00893F3E"/>
    <w:rsid w:val="00894105"/>
    <w:rsid w:val="0089430F"/>
    <w:rsid w:val="00894881"/>
    <w:rsid w:val="00897380"/>
    <w:rsid w:val="008A0869"/>
    <w:rsid w:val="008A15E5"/>
    <w:rsid w:val="008A1CB6"/>
    <w:rsid w:val="008A2A8B"/>
    <w:rsid w:val="008A469D"/>
    <w:rsid w:val="008A67DF"/>
    <w:rsid w:val="008A6A2E"/>
    <w:rsid w:val="008A6D5F"/>
    <w:rsid w:val="008A6DB3"/>
    <w:rsid w:val="008A6F8E"/>
    <w:rsid w:val="008B052B"/>
    <w:rsid w:val="008B12CD"/>
    <w:rsid w:val="008B171B"/>
    <w:rsid w:val="008B2C02"/>
    <w:rsid w:val="008B2C11"/>
    <w:rsid w:val="008B354D"/>
    <w:rsid w:val="008B4F25"/>
    <w:rsid w:val="008B6914"/>
    <w:rsid w:val="008B7377"/>
    <w:rsid w:val="008B7DBA"/>
    <w:rsid w:val="008C074F"/>
    <w:rsid w:val="008C22BC"/>
    <w:rsid w:val="008C33E8"/>
    <w:rsid w:val="008C36AC"/>
    <w:rsid w:val="008C430A"/>
    <w:rsid w:val="008C59B1"/>
    <w:rsid w:val="008C5AA7"/>
    <w:rsid w:val="008C6200"/>
    <w:rsid w:val="008C726C"/>
    <w:rsid w:val="008D05C9"/>
    <w:rsid w:val="008D1072"/>
    <w:rsid w:val="008D1349"/>
    <w:rsid w:val="008D16D1"/>
    <w:rsid w:val="008D17C0"/>
    <w:rsid w:val="008D2F9D"/>
    <w:rsid w:val="008D32EC"/>
    <w:rsid w:val="008D35EF"/>
    <w:rsid w:val="008D48BF"/>
    <w:rsid w:val="008D58DF"/>
    <w:rsid w:val="008D5E39"/>
    <w:rsid w:val="008D7BC4"/>
    <w:rsid w:val="008E21AC"/>
    <w:rsid w:val="008E250A"/>
    <w:rsid w:val="008E353B"/>
    <w:rsid w:val="008E7D06"/>
    <w:rsid w:val="008F0427"/>
    <w:rsid w:val="008F0B08"/>
    <w:rsid w:val="008F0CF1"/>
    <w:rsid w:val="008F1827"/>
    <w:rsid w:val="008F32D9"/>
    <w:rsid w:val="008F35CF"/>
    <w:rsid w:val="008F4532"/>
    <w:rsid w:val="008F4F2E"/>
    <w:rsid w:val="008F5228"/>
    <w:rsid w:val="008F55BE"/>
    <w:rsid w:val="008F5944"/>
    <w:rsid w:val="008F677A"/>
    <w:rsid w:val="008F6BC4"/>
    <w:rsid w:val="008F6E08"/>
    <w:rsid w:val="008F7801"/>
    <w:rsid w:val="008F7A30"/>
    <w:rsid w:val="00900F38"/>
    <w:rsid w:val="009016FF"/>
    <w:rsid w:val="0090270A"/>
    <w:rsid w:val="0090517F"/>
    <w:rsid w:val="009051A9"/>
    <w:rsid w:val="00905F96"/>
    <w:rsid w:val="00906163"/>
    <w:rsid w:val="009066D3"/>
    <w:rsid w:val="00907E0E"/>
    <w:rsid w:val="00907E8A"/>
    <w:rsid w:val="00910199"/>
    <w:rsid w:val="009102D6"/>
    <w:rsid w:val="00910A3F"/>
    <w:rsid w:val="00910C41"/>
    <w:rsid w:val="00910C7F"/>
    <w:rsid w:val="00911843"/>
    <w:rsid w:val="0091232C"/>
    <w:rsid w:val="00912A64"/>
    <w:rsid w:val="009144E6"/>
    <w:rsid w:val="00914619"/>
    <w:rsid w:val="0091500C"/>
    <w:rsid w:val="00916415"/>
    <w:rsid w:val="00916CE4"/>
    <w:rsid w:val="00916D77"/>
    <w:rsid w:val="009202FA"/>
    <w:rsid w:val="00921E97"/>
    <w:rsid w:val="00923EB5"/>
    <w:rsid w:val="00924037"/>
    <w:rsid w:val="00924D6F"/>
    <w:rsid w:val="00925181"/>
    <w:rsid w:val="00925485"/>
    <w:rsid w:val="00925CE1"/>
    <w:rsid w:val="00927546"/>
    <w:rsid w:val="00934241"/>
    <w:rsid w:val="00936A2B"/>
    <w:rsid w:val="0094052A"/>
    <w:rsid w:val="0094055E"/>
    <w:rsid w:val="009412C3"/>
    <w:rsid w:val="009423E5"/>
    <w:rsid w:val="00942A91"/>
    <w:rsid w:val="009432C0"/>
    <w:rsid w:val="00944761"/>
    <w:rsid w:val="0094510F"/>
    <w:rsid w:val="00945C5A"/>
    <w:rsid w:val="00950299"/>
    <w:rsid w:val="00950FCB"/>
    <w:rsid w:val="009510AA"/>
    <w:rsid w:val="00952FC3"/>
    <w:rsid w:val="00955434"/>
    <w:rsid w:val="0095680D"/>
    <w:rsid w:val="00956F6A"/>
    <w:rsid w:val="009575CA"/>
    <w:rsid w:val="009618DE"/>
    <w:rsid w:val="00961C1B"/>
    <w:rsid w:val="0096374B"/>
    <w:rsid w:val="009649EA"/>
    <w:rsid w:val="0096509A"/>
    <w:rsid w:val="009663EF"/>
    <w:rsid w:val="0097077D"/>
    <w:rsid w:val="009710F7"/>
    <w:rsid w:val="009738F3"/>
    <w:rsid w:val="0097436F"/>
    <w:rsid w:val="00974DBA"/>
    <w:rsid w:val="00975140"/>
    <w:rsid w:val="0097594B"/>
    <w:rsid w:val="00977BF5"/>
    <w:rsid w:val="00981243"/>
    <w:rsid w:val="00983719"/>
    <w:rsid w:val="00983AFA"/>
    <w:rsid w:val="009859FA"/>
    <w:rsid w:val="00985D1E"/>
    <w:rsid w:val="00987CFD"/>
    <w:rsid w:val="009917E0"/>
    <w:rsid w:val="0099195B"/>
    <w:rsid w:val="00992E43"/>
    <w:rsid w:val="00993CDE"/>
    <w:rsid w:val="00994B71"/>
    <w:rsid w:val="00994D69"/>
    <w:rsid w:val="00995DB8"/>
    <w:rsid w:val="00996914"/>
    <w:rsid w:val="00996953"/>
    <w:rsid w:val="009A2ED1"/>
    <w:rsid w:val="009A3EFC"/>
    <w:rsid w:val="009A4F04"/>
    <w:rsid w:val="009A6AA5"/>
    <w:rsid w:val="009A6F9A"/>
    <w:rsid w:val="009A7B12"/>
    <w:rsid w:val="009A7DA8"/>
    <w:rsid w:val="009B0599"/>
    <w:rsid w:val="009B1E83"/>
    <w:rsid w:val="009B245A"/>
    <w:rsid w:val="009B2FAE"/>
    <w:rsid w:val="009B423F"/>
    <w:rsid w:val="009B4A52"/>
    <w:rsid w:val="009B4C96"/>
    <w:rsid w:val="009B4D4A"/>
    <w:rsid w:val="009B61AD"/>
    <w:rsid w:val="009B69DF"/>
    <w:rsid w:val="009B787B"/>
    <w:rsid w:val="009B7CC7"/>
    <w:rsid w:val="009C051D"/>
    <w:rsid w:val="009C05EC"/>
    <w:rsid w:val="009C10A4"/>
    <w:rsid w:val="009C125E"/>
    <w:rsid w:val="009C2031"/>
    <w:rsid w:val="009C320A"/>
    <w:rsid w:val="009C5FC0"/>
    <w:rsid w:val="009C6717"/>
    <w:rsid w:val="009C6871"/>
    <w:rsid w:val="009C6B17"/>
    <w:rsid w:val="009C6B94"/>
    <w:rsid w:val="009C74DA"/>
    <w:rsid w:val="009C7BB1"/>
    <w:rsid w:val="009D18CC"/>
    <w:rsid w:val="009D1E3E"/>
    <w:rsid w:val="009D24F3"/>
    <w:rsid w:val="009D2CD3"/>
    <w:rsid w:val="009D350B"/>
    <w:rsid w:val="009D3F89"/>
    <w:rsid w:val="009D492D"/>
    <w:rsid w:val="009D53FA"/>
    <w:rsid w:val="009D55F9"/>
    <w:rsid w:val="009D5807"/>
    <w:rsid w:val="009D61F3"/>
    <w:rsid w:val="009E0328"/>
    <w:rsid w:val="009E047D"/>
    <w:rsid w:val="009E1069"/>
    <w:rsid w:val="009E1557"/>
    <w:rsid w:val="009E16EF"/>
    <w:rsid w:val="009E32D4"/>
    <w:rsid w:val="009E4734"/>
    <w:rsid w:val="009E6099"/>
    <w:rsid w:val="009E654F"/>
    <w:rsid w:val="009E6FC0"/>
    <w:rsid w:val="009E759A"/>
    <w:rsid w:val="009F0CE2"/>
    <w:rsid w:val="009F0F76"/>
    <w:rsid w:val="009F16B2"/>
    <w:rsid w:val="009F29C0"/>
    <w:rsid w:val="009F3C8B"/>
    <w:rsid w:val="009F4731"/>
    <w:rsid w:val="009F4ADD"/>
    <w:rsid w:val="009F5DDF"/>
    <w:rsid w:val="009F6212"/>
    <w:rsid w:val="009F7957"/>
    <w:rsid w:val="00A000EB"/>
    <w:rsid w:val="00A00B0D"/>
    <w:rsid w:val="00A019FB"/>
    <w:rsid w:val="00A01B66"/>
    <w:rsid w:val="00A02D52"/>
    <w:rsid w:val="00A03609"/>
    <w:rsid w:val="00A03CF3"/>
    <w:rsid w:val="00A04BAE"/>
    <w:rsid w:val="00A05C4B"/>
    <w:rsid w:val="00A07682"/>
    <w:rsid w:val="00A10CF0"/>
    <w:rsid w:val="00A10F26"/>
    <w:rsid w:val="00A11387"/>
    <w:rsid w:val="00A12102"/>
    <w:rsid w:val="00A127AE"/>
    <w:rsid w:val="00A12C53"/>
    <w:rsid w:val="00A14864"/>
    <w:rsid w:val="00A1512D"/>
    <w:rsid w:val="00A16772"/>
    <w:rsid w:val="00A25809"/>
    <w:rsid w:val="00A25B69"/>
    <w:rsid w:val="00A25BF2"/>
    <w:rsid w:val="00A26FCC"/>
    <w:rsid w:val="00A307D2"/>
    <w:rsid w:val="00A30F95"/>
    <w:rsid w:val="00A3158F"/>
    <w:rsid w:val="00A315FB"/>
    <w:rsid w:val="00A32521"/>
    <w:rsid w:val="00A339CB"/>
    <w:rsid w:val="00A34220"/>
    <w:rsid w:val="00A34282"/>
    <w:rsid w:val="00A351D9"/>
    <w:rsid w:val="00A3588B"/>
    <w:rsid w:val="00A361FF"/>
    <w:rsid w:val="00A37D15"/>
    <w:rsid w:val="00A41B5E"/>
    <w:rsid w:val="00A42A4A"/>
    <w:rsid w:val="00A42B9C"/>
    <w:rsid w:val="00A4311B"/>
    <w:rsid w:val="00A433CA"/>
    <w:rsid w:val="00A4499F"/>
    <w:rsid w:val="00A44FAF"/>
    <w:rsid w:val="00A456CF"/>
    <w:rsid w:val="00A46F2D"/>
    <w:rsid w:val="00A4708D"/>
    <w:rsid w:val="00A50AA6"/>
    <w:rsid w:val="00A50D30"/>
    <w:rsid w:val="00A5190B"/>
    <w:rsid w:val="00A53006"/>
    <w:rsid w:val="00A53C8F"/>
    <w:rsid w:val="00A55505"/>
    <w:rsid w:val="00A56CBB"/>
    <w:rsid w:val="00A6026D"/>
    <w:rsid w:val="00A60296"/>
    <w:rsid w:val="00A6111B"/>
    <w:rsid w:val="00A6130F"/>
    <w:rsid w:val="00A61EAD"/>
    <w:rsid w:val="00A62415"/>
    <w:rsid w:val="00A62651"/>
    <w:rsid w:val="00A62A1F"/>
    <w:rsid w:val="00A6372A"/>
    <w:rsid w:val="00A6474E"/>
    <w:rsid w:val="00A6705C"/>
    <w:rsid w:val="00A67124"/>
    <w:rsid w:val="00A678A1"/>
    <w:rsid w:val="00A7007B"/>
    <w:rsid w:val="00A70332"/>
    <w:rsid w:val="00A70A1B"/>
    <w:rsid w:val="00A70CA0"/>
    <w:rsid w:val="00A72B80"/>
    <w:rsid w:val="00A72F71"/>
    <w:rsid w:val="00A72FDB"/>
    <w:rsid w:val="00A735A7"/>
    <w:rsid w:val="00A73778"/>
    <w:rsid w:val="00A73D7A"/>
    <w:rsid w:val="00A75032"/>
    <w:rsid w:val="00A77992"/>
    <w:rsid w:val="00A803B0"/>
    <w:rsid w:val="00A81303"/>
    <w:rsid w:val="00A81405"/>
    <w:rsid w:val="00A81DEE"/>
    <w:rsid w:val="00A825E7"/>
    <w:rsid w:val="00A83064"/>
    <w:rsid w:val="00A843E8"/>
    <w:rsid w:val="00A84BBB"/>
    <w:rsid w:val="00A850A6"/>
    <w:rsid w:val="00A85D49"/>
    <w:rsid w:val="00A85DF3"/>
    <w:rsid w:val="00A85F61"/>
    <w:rsid w:val="00A863A0"/>
    <w:rsid w:val="00A8710D"/>
    <w:rsid w:val="00A871F5"/>
    <w:rsid w:val="00A906DA"/>
    <w:rsid w:val="00A91127"/>
    <w:rsid w:val="00A92045"/>
    <w:rsid w:val="00A93FC6"/>
    <w:rsid w:val="00A94EEE"/>
    <w:rsid w:val="00A950E0"/>
    <w:rsid w:val="00A9575B"/>
    <w:rsid w:val="00A95FE7"/>
    <w:rsid w:val="00A962D3"/>
    <w:rsid w:val="00A96F6A"/>
    <w:rsid w:val="00A9797E"/>
    <w:rsid w:val="00AA2B21"/>
    <w:rsid w:val="00AA3A1D"/>
    <w:rsid w:val="00AA4019"/>
    <w:rsid w:val="00AA4E9B"/>
    <w:rsid w:val="00AA53C7"/>
    <w:rsid w:val="00AA5B88"/>
    <w:rsid w:val="00AA77E2"/>
    <w:rsid w:val="00AB0662"/>
    <w:rsid w:val="00AB0793"/>
    <w:rsid w:val="00AB0A1D"/>
    <w:rsid w:val="00AB2959"/>
    <w:rsid w:val="00AB4E2D"/>
    <w:rsid w:val="00AB50D5"/>
    <w:rsid w:val="00AB5273"/>
    <w:rsid w:val="00AB5CF9"/>
    <w:rsid w:val="00AB637C"/>
    <w:rsid w:val="00AC02B0"/>
    <w:rsid w:val="00AC191A"/>
    <w:rsid w:val="00AC205A"/>
    <w:rsid w:val="00AC43E1"/>
    <w:rsid w:val="00AC44D2"/>
    <w:rsid w:val="00AC4CB4"/>
    <w:rsid w:val="00AC558A"/>
    <w:rsid w:val="00AC5968"/>
    <w:rsid w:val="00AC5FD3"/>
    <w:rsid w:val="00AC6529"/>
    <w:rsid w:val="00AC66F5"/>
    <w:rsid w:val="00AC6D9A"/>
    <w:rsid w:val="00AC74AD"/>
    <w:rsid w:val="00AC798D"/>
    <w:rsid w:val="00AD0600"/>
    <w:rsid w:val="00AD2211"/>
    <w:rsid w:val="00AD2F59"/>
    <w:rsid w:val="00AD2FCC"/>
    <w:rsid w:val="00AD4807"/>
    <w:rsid w:val="00AD51F3"/>
    <w:rsid w:val="00AD6652"/>
    <w:rsid w:val="00AD7B7B"/>
    <w:rsid w:val="00AE08FC"/>
    <w:rsid w:val="00AE11A6"/>
    <w:rsid w:val="00AE39A3"/>
    <w:rsid w:val="00AE3F3E"/>
    <w:rsid w:val="00AE499E"/>
    <w:rsid w:val="00AE4E10"/>
    <w:rsid w:val="00AE678F"/>
    <w:rsid w:val="00AE7323"/>
    <w:rsid w:val="00AF008C"/>
    <w:rsid w:val="00AF1280"/>
    <w:rsid w:val="00AF2058"/>
    <w:rsid w:val="00AF236A"/>
    <w:rsid w:val="00AF276D"/>
    <w:rsid w:val="00AF467A"/>
    <w:rsid w:val="00AF4ED9"/>
    <w:rsid w:val="00AF559B"/>
    <w:rsid w:val="00AF6F9C"/>
    <w:rsid w:val="00AF7433"/>
    <w:rsid w:val="00B005B4"/>
    <w:rsid w:val="00B00627"/>
    <w:rsid w:val="00B00B68"/>
    <w:rsid w:val="00B016D8"/>
    <w:rsid w:val="00B01FFA"/>
    <w:rsid w:val="00B02151"/>
    <w:rsid w:val="00B028B4"/>
    <w:rsid w:val="00B02A2B"/>
    <w:rsid w:val="00B047C3"/>
    <w:rsid w:val="00B059D5"/>
    <w:rsid w:val="00B06018"/>
    <w:rsid w:val="00B060AF"/>
    <w:rsid w:val="00B061A1"/>
    <w:rsid w:val="00B0638B"/>
    <w:rsid w:val="00B068A6"/>
    <w:rsid w:val="00B0696A"/>
    <w:rsid w:val="00B07D38"/>
    <w:rsid w:val="00B103A6"/>
    <w:rsid w:val="00B10C3D"/>
    <w:rsid w:val="00B12E5C"/>
    <w:rsid w:val="00B13933"/>
    <w:rsid w:val="00B13FE2"/>
    <w:rsid w:val="00B14BFB"/>
    <w:rsid w:val="00B14EEF"/>
    <w:rsid w:val="00B155EF"/>
    <w:rsid w:val="00B17A12"/>
    <w:rsid w:val="00B2091B"/>
    <w:rsid w:val="00B24D06"/>
    <w:rsid w:val="00B250E8"/>
    <w:rsid w:val="00B2580B"/>
    <w:rsid w:val="00B26EDF"/>
    <w:rsid w:val="00B27069"/>
    <w:rsid w:val="00B270B5"/>
    <w:rsid w:val="00B271FA"/>
    <w:rsid w:val="00B3042C"/>
    <w:rsid w:val="00B30EC1"/>
    <w:rsid w:val="00B31534"/>
    <w:rsid w:val="00B33EAC"/>
    <w:rsid w:val="00B3481F"/>
    <w:rsid w:val="00B34D33"/>
    <w:rsid w:val="00B35616"/>
    <w:rsid w:val="00B35F8E"/>
    <w:rsid w:val="00B36122"/>
    <w:rsid w:val="00B36E1C"/>
    <w:rsid w:val="00B40885"/>
    <w:rsid w:val="00B40A5A"/>
    <w:rsid w:val="00B416AF"/>
    <w:rsid w:val="00B42376"/>
    <w:rsid w:val="00B42569"/>
    <w:rsid w:val="00B43A36"/>
    <w:rsid w:val="00B44401"/>
    <w:rsid w:val="00B446CC"/>
    <w:rsid w:val="00B453CE"/>
    <w:rsid w:val="00B45D40"/>
    <w:rsid w:val="00B45DBD"/>
    <w:rsid w:val="00B460DF"/>
    <w:rsid w:val="00B50899"/>
    <w:rsid w:val="00B52E6C"/>
    <w:rsid w:val="00B535BE"/>
    <w:rsid w:val="00B5390E"/>
    <w:rsid w:val="00B542D1"/>
    <w:rsid w:val="00B54583"/>
    <w:rsid w:val="00B57965"/>
    <w:rsid w:val="00B579E2"/>
    <w:rsid w:val="00B60396"/>
    <w:rsid w:val="00B61AE1"/>
    <w:rsid w:val="00B61F2F"/>
    <w:rsid w:val="00B637E6"/>
    <w:rsid w:val="00B63F15"/>
    <w:rsid w:val="00B66A92"/>
    <w:rsid w:val="00B67D88"/>
    <w:rsid w:val="00B70900"/>
    <w:rsid w:val="00B71A25"/>
    <w:rsid w:val="00B72049"/>
    <w:rsid w:val="00B72AE9"/>
    <w:rsid w:val="00B74B49"/>
    <w:rsid w:val="00B74B94"/>
    <w:rsid w:val="00B760C5"/>
    <w:rsid w:val="00B76755"/>
    <w:rsid w:val="00B80E7B"/>
    <w:rsid w:val="00B81108"/>
    <w:rsid w:val="00B811CA"/>
    <w:rsid w:val="00B822EA"/>
    <w:rsid w:val="00B8240C"/>
    <w:rsid w:val="00B83203"/>
    <w:rsid w:val="00B839E0"/>
    <w:rsid w:val="00B844A5"/>
    <w:rsid w:val="00B84A91"/>
    <w:rsid w:val="00B84DF1"/>
    <w:rsid w:val="00B85EDD"/>
    <w:rsid w:val="00B86974"/>
    <w:rsid w:val="00B872CC"/>
    <w:rsid w:val="00B906FE"/>
    <w:rsid w:val="00B9085A"/>
    <w:rsid w:val="00B90A9E"/>
    <w:rsid w:val="00B91106"/>
    <w:rsid w:val="00B93410"/>
    <w:rsid w:val="00B94381"/>
    <w:rsid w:val="00B951DD"/>
    <w:rsid w:val="00B95C4E"/>
    <w:rsid w:val="00B9601A"/>
    <w:rsid w:val="00BA0856"/>
    <w:rsid w:val="00BA0B6A"/>
    <w:rsid w:val="00BA19B8"/>
    <w:rsid w:val="00BA2326"/>
    <w:rsid w:val="00BA3059"/>
    <w:rsid w:val="00BA3300"/>
    <w:rsid w:val="00BA525F"/>
    <w:rsid w:val="00BA7131"/>
    <w:rsid w:val="00BB057D"/>
    <w:rsid w:val="00BB06D9"/>
    <w:rsid w:val="00BB55BC"/>
    <w:rsid w:val="00BB55EF"/>
    <w:rsid w:val="00BB5F69"/>
    <w:rsid w:val="00BB6E9F"/>
    <w:rsid w:val="00BB7E88"/>
    <w:rsid w:val="00BC10C2"/>
    <w:rsid w:val="00BC1D25"/>
    <w:rsid w:val="00BC233D"/>
    <w:rsid w:val="00BC34C4"/>
    <w:rsid w:val="00BC36A4"/>
    <w:rsid w:val="00BC37AF"/>
    <w:rsid w:val="00BC4B8D"/>
    <w:rsid w:val="00BC586C"/>
    <w:rsid w:val="00BC6693"/>
    <w:rsid w:val="00BC77CA"/>
    <w:rsid w:val="00BC79C8"/>
    <w:rsid w:val="00BC7F5B"/>
    <w:rsid w:val="00BC7F87"/>
    <w:rsid w:val="00BD01B9"/>
    <w:rsid w:val="00BD01E9"/>
    <w:rsid w:val="00BD09A5"/>
    <w:rsid w:val="00BD2677"/>
    <w:rsid w:val="00BD3FA4"/>
    <w:rsid w:val="00BD4598"/>
    <w:rsid w:val="00BD4AF0"/>
    <w:rsid w:val="00BD4F09"/>
    <w:rsid w:val="00BD50A9"/>
    <w:rsid w:val="00BD561F"/>
    <w:rsid w:val="00BD75B8"/>
    <w:rsid w:val="00BE0300"/>
    <w:rsid w:val="00BE1326"/>
    <w:rsid w:val="00BE2CB1"/>
    <w:rsid w:val="00BE3AF6"/>
    <w:rsid w:val="00BE3BB5"/>
    <w:rsid w:val="00BE41CE"/>
    <w:rsid w:val="00BE48D8"/>
    <w:rsid w:val="00BE51DB"/>
    <w:rsid w:val="00BE53E0"/>
    <w:rsid w:val="00BE7F0A"/>
    <w:rsid w:val="00BF1D32"/>
    <w:rsid w:val="00BF2790"/>
    <w:rsid w:val="00BF2916"/>
    <w:rsid w:val="00BF2A59"/>
    <w:rsid w:val="00BF2BA0"/>
    <w:rsid w:val="00BF2F5D"/>
    <w:rsid w:val="00BF4A10"/>
    <w:rsid w:val="00BF6868"/>
    <w:rsid w:val="00BF7701"/>
    <w:rsid w:val="00BF776C"/>
    <w:rsid w:val="00C001C2"/>
    <w:rsid w:val="00C00316"/>
    <w:rsid w:val="00C00738"/>
    <w:rsid w:val="00C01B25"/>
    <w:rsid w:val="00C02244"/>
    <w:rsid w:val="00C02533"/>
    <w:rsid w:val="00C02807"/>
    <w:rsid w:val="00C03EF9"/>
    <w:rsid w:val="00C04A83"/>
    <w:rsid w:val="00C0543F"/>
    <w:rsid w:val="00C055F3"/>
    <w:rsid w:val="00C05808"/>
    <w:rsid w:val="00C07381"/>
    <w:rsid w:val="00C107EA"/>
    <w:rsid w:val="00C10910"/>
    <w:rsid w:val="00C10BDE"/>
    <w:rsid w:val="00C10DE9"/>
    <w:rsid w:val="00C11582"/>
    <w:rsid w:val="00C11C0A"/>
    <w:rsid w:val="00C12C1E"/>
    <w:rsid w:val="00C136F3"/>
    <w:rsid w:val="00C13A1D"/>
    <w:rsid w:val="00C16C18"/>
    <w:rsid w:val="00C16DA9"/>
    <w:rsid w:val="00C16EB9"/>
    <w:rsid w:val="00C1754C"/>
    <w:rsid w:val="00C17665"/>
    <w:rsid w:val="00C17FDA"/>
    <w:rsid w:val="00C2101B"/>
    <w:rsid w:val="00C21C70"/>
    <w:rsid w:val="00C242EC"/>
    <w:rsid w:val="00C24E50"/>
    <w:rsid w:val="00C25757"/>
    <w:rsid w:val="00C25EA2"/>
    <w:rsid w:val="00C27684"/>
    <w:rsid w:val="00C278CE"/>
    <w:rsid w:val="00C27EC5"/>
    <w:rsid w:val="00C31A2B"/>
    <w:rsid w:val="00C35412"/>
    <w:rsid w:val="00C3728A"/>
    <w:rsid w:val="00C40481"/>
    <w:rsid w:val="00C4092A"/>
    <w:rsid w:val="00C40A60"/>
    <w:rsid w:val="00C42E83"/>
    <w:rsid w:val="00C433E0"/>
    <w:rsid w:val="00C43736"/>
    <w:rsid w:val="00C4395E"/>
    <w:rsid w:val="00C44791"/>
    <w:rsid w:val="00C447C7"/>
    <w:rsid w:val="00C44F17"/>
    <w:rsid w:val="00C46034"/>
    <w:rsid w:val="00C46289"/>
    <w:rsid w:val="00C46563"/>
    <w:rsid w:val="00C472A7"/>
    <w:rsid w:val="00C47686"/>
    <w:rsid w:val="00C47704"/>
    <w:rsid w:val="00C47ACD"/>
    <w:rsid w:val="00C5122B"/>
    <w:rsid w:val="00C51A7C"/>
    <w:rsid w:val="00C52B82"/>
    <w:rsid w:val="00C530C8"/>
    <w:rsid w:val="00C531DC"/>
    <w:rsid w:val="00C56174"/>
    <w:rsid w:val="00C566EB"/>
    <w:rsid w:val="00C56746"/>
    <w:rsid w:val="00C56C0D"/>
    <w:rsid w:val="00C600EE"/>
    <w:rsid w:val="00C60A86"/>
    <w:rsid w:val="00C61042"/>
    <w:rsid w:val="00C615B4"/>
    <w:rsid w:val="00C61CE4"/>
    <w:rsid w:val="00C61E00"/>
    <w:rsid w:val="00C62548"/>
    <w:rsid w:val="00C64591"/>
    <w:rsid w:val="00C65957"/>
    <w:rsid w:val="00C662CA"/>
    <w:rsid w:val="00C671C5"/>
    <w:rsid w:val="00C67D22"/>
    <w:rsid w:val="00C7028D"/>
    <w:rsid w:val="00C70690"/>
    <w:rsid w:val="00C70BD4"/>
    <w:rsid w:val="00C718F9"/>
    <w:rsid w:val="00C71F2F"/>
    <w:rsid w:val="00C724C3"/>
    <w:rsid w:val="00C72FFF"/>
    <w:rsid w:val="00C7327C"/>
    <w:rsid w:val="00C734B1"/>
    <w:rsid w:val="00C74C0F"/>
    <w:rsid w:val="00C75329"/>
    <w:rsid w:val="00C753A7"/>
    <w:rsid w:val="00C755CF"/>
    <w:rsid w:val="00C75658"/>
    <w:rsid w:val="00C7780E"/>
    <w:rsid w:val="00C8014C"/>
    <w:rsid w:val="00C80B4A"/>
    <w:rsid w:val="00C80CC5"/>
    <w:rsid w:val="00C82A84"/>
    <w:rsid w:val="00C82F35"/>
    <w:rsid w:val="00C834EF"/>
    <w:rsid w:val="00C83BF8"/>
    <w:rsid w:val="00C84003"/>
    <w:rsid w:val="00C84A96"/>
    <w:rsid w:val="00C8692F"/>
    <w:rsid w:val="00C87E47"/>
    <w:rsid w:val="00C90A82"/>
    <w:rsid w:val="00C90A88"/>
    <w:rsid w:val="00C91FEC"/>
    <w:rsid w:val="00C92418"/>
    <w:rsid w:val="00C926E2"/>
    <w:rsid w:val="00C950B0"/>
    <w:rsid w:val="00C956E0"/>
    <w:rsid w:val="00C957FD"/>
    <w:rsid w:val="00C9684F"/>
    <w:rsid w:val="00C96907"/>
    <w:rsid w:val="00C96B98"/>
    <w:rsid w:val="00CA0CE9"/>
    <w:rsid w:val="00CA0FCF"/>
    <w:rsid w:val="00CA170C"/>
    <w:rsid w:val="00CA1B74"/>
    <w:rsid w:val="00CA2470"/>
    <w:rsid w:val="00CA4B9C"/>
    <w:rsid w:val="00CA57AB"/>
    <w:rsid w:val="00CA678E"/>
    <w:rsid w:val="00CA6CAE"/>
    <w:rsid w:val="00CB2B84"/>
    <w:rsid w:val="00CB3FFC"/>
    <w:rsid w:val="00CB44D3"/>
    <w:rsid w:val="00CB4CF8"/>
    <w:rsid w:val="00CB6124"/>
    <w:rsid w:val="00CB6170"/>
    <w:rsid w:val="00CC02B0"/>
    <w:rsid w:val="00CC02BE"/>
    <w:rsid w:val="00CC09C4"/>
    <w:rsid w:val="00CC1B90"/>
    <w:rsid w:val="00CC326A"/>
    <w:rsid w:val="00CC3DC6"/>
    <w:rsid w:val="00CC41B2"/>
    <w:rsid w:val="00CC4B6E"/>
    <w:rsid w:val="00CC504E"/>
    <w:rsid w:val="00CC7C84"/>
    <w:rsid w:val="00CD04EC"/>
    <w:rsid w:val="00CD1119"/>
    <w:rsid w:val="00CD11D4"/>
    <w:rsid w:val="00CD23C4"/>
    <w:rsid w:val="00CD29B2"/>
    <w:rsid w:val="00CD2C0F"/>
    <w:rsid w:val="00CD3582"/>
    <w:rsid w:val="00CD3A27"/>
    <w:rsid w:val="00CD5190"/>
    <w:rsid w:val="00CD551E"/>
    <w:rsid w:val="00CD6916"/>
    <w:rsid w:val="00CD69B8"/>
    <w:rsid w:val="00CD6EE8"/>
    <w:rsid w:val="00CD721E"/>
    <w:rsid w:val="00CD7542"/>
    <w:rsid w:val="00CD79C7"/>
    <w:rsid w:val="00CD7CF7"/>
    <w:rsid w:val="00CE0B6D"/>
    <w:rsid w:val="00CE12C9"/>
    <w:rsid w:val="00CE24ED"/>
    <w:rsid w:val="00CE37C4"/>
    <w:rsid w:val="00CE5488"/>
    <w:rsid w:val="00CE5A5A"/>
    <w:rsid w:val="00CE61FE"/>
    <w:rsid w:val="00CE7B1A"/>
    <w:rsid w:val="00CF08D8"/>
    <w:rsid w:val="00CF1AB5"/>
    <w:rsid w:val="00CF25BB"/>
    <w:rsid w:val="00CF28FF"/>
    <w:rsid w:val="00CF2BC6"/>
    <w:rsid w:val="00CF32F1"/>
    <w:rsid w:val="00CF3FD1"/>
    <w:rsid w:val="00CF4157"/>
    <w:rsid w:val="00CF45C4"/>
    <w:rsid w:val="00CF712F"/>
    <w:rsid w:val="00D00D44"/>
    <w:rsid w:val="00D01961"/>
    <w:rsid w:val="00D025BC"/>
    <w:rsid w:val="00D02871"/>
    <w:rsid w:val="00D0321F"/>
    <w:rsid w:val="00D05263"/>
    <w:rsid w:val="00D054E8"/>
    <w:rsid w:val="00D0583C"/>
    <w:rsid w:val="00D06927"/>
    <w:rsid w:val="00D06A77"/>
    <w:rsid w:val="00D072E0"/>
    <w:rsid w:val="00D07A22"/>
    <w:rsid w:val="00D10696"/>
    <w:rsid w:val="00D110B5"/>
    <w:rsid w:val="00D110DE"/>
    <w:rsid w:val="00D136B0"/>
    <w:rsid w:val="00D13ED5"/>
    <w:rsid w:val="00D142E8"/>
    <w:rsid w:val="00D15BED"/>
    <w:rsid w:val="00D16B5F"/>
    <w:rsid w:val="00D20577"/>
    <w:rsid w:val="00D20A26"/>
    <w:rsid w:val="00D20A6D"/>
    <w:rsid w:val="00D214D1"/>
    <w:rsid w:val="00D2155A"/>
    <w:rsid w:val="00D22813"/>
    <w:rsid w:val="00D236B8"/>
    <w:rsid w:val="00D249A4"/>
    <w:rsid w:val="00D25253"/>
    <w:rsid w:val="00D26BC5"/>
    <w:rsid w:val="00D27193"/>
    <w:rsid w:val="00D27551"/>
    <w:rsid w:val="00D27D7B"/>
    <w:rsid w:val="00D300AB"/>
    <w:rsid w:val="00D307BF"/>
    <w:rsid w:val="00D31420"/>
    <w:rsid w:val="00D3167B"/>
    <w:rsid w:val="00D33D24"/>
    <w:rsid w:val="00D35051"/>
    <w:rsid w:val="00D369A1"/>
    <w:rsid w:val="00D379AE"/>
    <w:rsid w:val="00D40AC7"/>
    <w:rsid w:val="00D410F8"/>
    <w:rsid w:val="00D41BD5"/>
    <w:rsid w:val="00D426E6"/>
    <w:rsid w:val="00D42AF2"/>
    <w:rsid w:val="00D44194"/>
    <w:rsid w:val="00D44B6B"/>
    <w:rsid w:val="00D466BB"/>
    <w:rsid w:val="00D4672B"/>
    <w:rsid w:val="00D47AD0"/>
    <w:rsid w:val="00D5044E"/>
    <w:rsid w:val="00D50B40"/>
    <w:rsid w:val="00D50F04"/>
    <w:rsid w:val="00D50F93"/>
    <w:rsid w:val="00D51D9E"/>
    <w:rsid w:val="00D534E2"/>
    <w:rsid w:val="00D53F18"/>
    <w:rsid w:val="00D54180"/>
    <w:rsid w:val="00D54BDA"/>
    <w:rsid w:val="00D55B65"/>
    <w:rsid w:val="00D568E1"/>
    <w:rsid w:val="00D571FF"/>
    <w:rsid w:val="00D572D7"/>
    <w:rsid w:val="00D57A5F"/>
    <w:rsid w:val="00D57E54"/>
    <w:rsid w:val="00D60B46"/>
    <w:rsid w:val="00D6194E"/>
    <w:rsid w:val="00D61E5A"/>
    <w:rsid w:val="00D639BC"/>
    <w:rsid w:val="00D63F66"/>
    <w:rsid w:val="00D64AD7"/>
    <w:rsid w:val="00D650D6"/>
    <w:rsid w:val="00D654FE"/>
    <w:rsid w:val="00D6597B"/>
    <w:rsid w:val="00D66059"/>
    <w:rsid w:val="00D6615C"/>
    <w:rsid w:val="00D661AF"/>
    <w:rsid w:val="00D6677C"/>
    <w:rsid w:val="00D66800"/>
    <w:rsid w:val="00D66AE1"/>
    <w:rsid w:val="00D66CF2"/>
    <w:rsid w:val="00D70904"/>
    <w:rsid w:val="00D709F9"/>
    <w:rsid w:val="00D718CA"/>
    <w:rsid w:val="00D724C5"/>
    <w:rsid w:val="00D726AC"/>
    <w:rsid w:val="00D741B1"/>
    <w:rsid w:val="00D7494C"/>
    <w:rsid w:val="00D818EC"/>
    <w:rsid w:val="00D8190B"/>
    <w:rsid w:val="00D82509"/>
    <w:rsid w:val="00D8340E"/>
    <w:rsid w:val="00D83642"/>
    <w:rsid w:val="00D84D6B"/>
    <w:rsid w:val="00D8646E"/>
    <w:rsid w:val="00D868D2"/>
    <w:rsid w:val="00D8798C"/>
    <w:rsid w:val="00D87DC8"/>
    <w:rsid w:val="00D90287"/>
    <w:rsid w:val="00D9192F"/>
    <w:rsid w:val="00D9258F"/>
    <w:rsid w:val="00D93158"/>
    <w:rsid w:val="00D93477"/>
    <w:rsid w:val="00D9351C"/>
    <w:rsid w:val="00D9383C"/>
    <w:rsid w:val="00D93B68"/>
    <w:rsid w:val="00D93C8B"/>
    <w:rsid w:val="00D94D5F"/>
    <w:rsid w:val="00D96E34"/>
    <w:rsid w:val="00D976C5"/>
    <w:rsid w:val="00D9790A"/>
    <w:rsid w:val="00DA1D85"/>
    <w:rsid w:val="00DA28E2"/>
    <w:rsid w:val="00DA3B17"/>
    <w:rsid w:val="00DA470E"/>
    <w:rsid w:val="00DA4B23"/>
    <w:rsid w:val="00DA51F1"/>
    <w:rsid w:val="00DA6119"/>
    <w:rsid w:val="00DA6746"/>
    <w:rsid w:val="00DA71C9"/>
    <w:rsid w:val="00DB0CEE"/>
    <w:rsid w:val="00DB11A0"/>
    <w:rsid w:val="00DB1918"/>
    <w:rsid w:val="00DB20AE"/>
    <w:rsid w:val="00DB23A5"/>
    <w:rsid w:val="00DB299D"/>
    <w:rsid w:val="00DB319F"/>
    <w:rsid w:val="00DB4CBC"/>
    <w:rsid w:val="00DB558C"/>
    <w:rsid w:val="00DB67DF"/>
    <w:rsid w:val="00DC0485"/>
    <w:rsid w:val="00DC0F82"/>
    <w:rsid w:val="00DC1A0F"/>
    <w:rsid w:val="00DC1A4E"/>
    <w:rsid w:val="00DC2584"/>
    <w:rsid w:val="00DC38B3"/>
    <w:rsid w:val="00DC6128"/>
    <w:rsid w:val="00DC6400"/>
    <w:rsid w:val="00DC74BE"/>
    <w:rsid w:val="00DC74F4"/>
    <w:rsid w:val="00DC7B32"/>
    <w:rsid w:val="00DD0325"/>
    <w:rsid w:val="00DD1066"/>
    <w:rsid w:val="00DD1170"/>
    <w:rsid w:val="00DD1572"/>
    <w:rsid w:val="00DD2355"/>
    <w:rsid w:val="00DD246A"/>
    <w:rsid w:val="00DD355B"/>
    <w:rsid w:val="00DD4320"/>
    <w:rsid w:val="00DD43F9"/>
    <w:rsid w:val="00DD460B"/>
    <w:rsid w:val="00DD52EB"/>
    <w:rsid w:val="00DD5A99"/>
    <w:rsid w:val="00DD6B3A"/>
    <w:rsid w:val="00DD76BD"/>
    <w:rsid w:val="00DD7B3C"/>
    <w:rsid w:val="00DE0ECD"/>
    <w:rsid w:val="00DE1E5B"/>
    <w:rsid w:val="00DE264C"/>
    <w:rsid w:val="00DE274C"/>
    <w:rsid w:val="00DE2DFA"/>
    <w:rsid w:val="00DE36F8"/>
    <w:rsid w:val="00DE3B8D"/>
    <w:rsid w:val="00DE43FF"/>
    <w:rsid w:val="00DE5FB5"/>
    <w:rsid w:val="00DE7538"/>
    <w:rsid w:val="00DE76B5"/>
    <w:rsid w:val="00DF02FC"/>
    <w:rsid w:val="00DF08E5"/>
    <w:rsid w:val="00DF1E6C"/>
    <w:rsid w:val="00DF2581"/>
    <w:rsid w:val="00DF3F85"/>
    <w:rsid w:val="00DF4A32"/>
    <w:rsid w:val="00DF4F3F"/>
    <w:rsid w:val="00DF648C"/>
    <w:rsid w:val="00DF74B9"/>
    <w:rsid w:val="00DF7CA6"/>
    <w:rsid w:val="00E0065F"/>
    <w:rsid w:val="00E007C4"/>
    <w:rsid w:val="00E020D1"/>
    <w:rsid w:val="00E03C6E"/>
    <w:rsid w:val="00E04689"/>
    <w:rsid w:val="00E04762"/>
    <w:rsid w:val="00E11001"/>
    <w:rsid w:val="00E11622"/>
    <w:rsid w:val="00E12245"/>
    <w:rsid w:val="00E12454"/>
    <w:rsid w:val="00E125BE"/>
    <w:rsid w:val="00E1292F"/>
    <w:rsid w:val="00E12D4E"/>
    <w:rsid w:val="00E13FEF"/>
    <w:rsid w:val="00E14161"/>
    <w:rsid w:val="00E1455A"/>
    <w:rsid w:val="00E14CF2"/>
    <w:rsid w:val="00E17918"/>
    <w:rsid w:val="00E17E71"/>
    <w:rsid w:val="00E20187"/>
    <w:rsid w:val="00E205C7"/>
    <w:rsid w:val="00E208B6"/>
    <w:rsid w:val="00E21710"/>
    <w:rsid w:val="00E21958"/>
    <w:rsid w:val="00E220F4"/>
    <w:rsid w:val="00E225E1"/>
    <w:rsid w:val="00E232DC"/>
    <w:rsid w:val="00E245D9"/>
    <w:rsid w:val="00E2686C"/>
    <w:rsid w:val="00E273B1"/>
    <w:rsid w:val="00E27508"/>
    <w:rsid w:val="00E27803"/>
    <w:rsid w:val="00E27B02"/>
    <w:rsid w:val="00E27ED4"/>
    <w:rsid w:val="00E27F69"/>
    <w:rsid w:val="00E30BF2"/>
    <w:rsid w:val="00E30C95"/>
    <w:rsid w:val="00E319B6"/>
    <w:rsid w:val="00E3216D"/>
    <w:rsid w:val="00E32F17"/>
    <w:rsid w:val="00E333D7"/>
    <w:rsid w:val="00E336E9"/>
    <w:rsid w:val="00E33EBB"/>
    <w:rsid w:val="00E345D8"/>
    <w:rsid w:val="00E36F12"/>
    <w:rsid w:val="00E37EE3"/>
    <w:rsid w:val="00E42167"/>
    <w:rsid w:val="00E423C6"/>
    <w:rsid w:val="00E42410"/>
    <w:rsid w:val="00E42854"/>
    <w:rsid w:val="00E42D09"/>
    <w:rsid w:val="00E430EE"/>
    <w:rsid w:val="00E431E7"/>
    <w:rsid w:val="00E44ECA"/>
    <w:rsid w:val="00E467BC"/>
    <w:rsid w:val="00E470B0"/>
    <w:rsid w:val="00E47DC8"/>
    <w:rsid w:val="00E47FA0"/>
    <w:rsid w:val="00E507E5"/>
    <w:rsid w:val="00E50D5D"/>
    <w:rsid w:val="00E51D0D"/>
    <w:rsid w:val="00E52016"/>
    <w:rsid w:val="00E5337B"/>
    <w:rsid w:val="00E53381"/>
    <w:rsid w:val="00E543A2"/>
    <w:rsid w:val="00E551B4"/>
    <w:rsid w:val="00E552DE"/>
    <w:rsid w:val="00E56275"/>
    <w:rsid w:val="00E569E2"/>
    <w:rsid w:val="00E56E00"/>
    <w:rsid w:val="00E57047"/>
    <w:rsid w:val="00E62AF2"/>
    <w:rsid w:val="00E63603"/>
    <w:rsid w:val="00E643BB"/>
    <w:rsid w:val="00E64867"/>
    <w:rsid w:val="00E64F5C"/>
    <w:rsid w:val="00E66D30"/>
    <w:rsid w:val="00E67E3B"/>
    <w:rsid w:val="00E70425"/>
    <w:rsid w:val="00E71A95"/>
    <w:rsid w:val="00E723C0"/>
    <w:rsid w:val="00E73AAD"/>
    <w:rsid w:val="00E745A3"/>
    <w:rsid w:val="00E74707"/>
    <w:rsid w:val="00E759FD"/>
    <w:rsid w:val="00E75AB0"/>
    <w:rsid w:val="00E75BB1"/>
    <w:rsid w:val="00E76744"/>
    <w:rsid w:val="00E80311"/>
    <w:rsid w:val="00E81ADB"/>
    <w:rsid w:val="00E83AB7"/>
    <w:rsid w:val="00E83B9D"/>
    <w:rsid w:val="00E860A4"/>
    <w:rsid w:val="00E87D62"/>
    <w:rsid w:val="00E90151"/>
    <w:rsid w:val="00E91046"/>
    <w:rsid w:val="00E91145"/>
    <w:rsid w:val="00E92DAF"/>
    <w:rsid w:val="00E94970"/>
    <w:rsid w:val="00E95237"/>
    <w:rsid w:val="00E9525D"/>
    <w:rsid w:val="00E969A2"/>
    <w:rsid w:val="00E96FF8"/>
    <w:rsid w:val="00E97AF4"/>
    <w:rsid w:val="00E97C96"/>
    <w:rsid w:val="00EA1B68"/>
    <w:rsid w:val="00EA2393"/>
    <w:rsid w:val="00EA3842"/>
    <w:rsid w:val="00EA3C3A"/>
    <w:rsid w:val="00EA4154"/>
    <w:rsid w:val="00EA6A51"/>
    <w:rsid w:val="00EA7225"/>
    <w:rsid w:val="00EA75AE"/>
    <w:rsid w:val="00EB0305"/>
    <w:rsid w:val="00EB0D33"/>
    <w:rsid w:val="00EB227F"/>
    <w:rsid w:val="00EB26CA"/>
    <w:rsid w:val="00EB26F1"/>
    <w:rsid w:val="00EB433C"/>
    <w:rsid w:val="00EB4E64"/>
    <w:rsid w:val="00EB555D"/>
    <w:rsid w:val="00EB5935"/>
    <w:rsid w:val="00EB614E"/>
    <w:rsid w:val="00EB6265"/>
    <w:rsid w:val="00EB6359"/>
    <w:rsid w:val="00EB6964"/>
    <w:rsid w:val="00EB7232"/>
    <w:rsid w:val="00EC011E"/>
    <w:rsid w:val="00EC0FCA"/>
    <w:rsid w:val="00EC25DB"/>
    <w:rsid w:val="00EC290F"/>
    <w:rsid w:val="00EC33E0"/>
    <w:rsid w:val="00EC3F36"/>
    <w:rsid w:val="00EC404B"/>
    <w:rsid w:val="00EC47F4"/>
    <w:rsid w:val="00EC49EC"/>
    <w:rsid w:val="00EC4D8F"/>
    <w:rsid w:val="00EC5645"/>
    <w:rsid w:val="00EC5A3E"/>
    <w:rsid w:val="00EC604D"/>
    <w:rsid w:val="00ED0A6F"/>
    <w:rsid w:val="00ED260D"/>
    <w:rsid w:val="00ED339B"/>
    <w:rsid w:val="00ED3572"/>
    <w:rsid w:val="00ED50D8"/>
    <w:rsid w:val="00ED535E"/>
    <w:rsid w:val="00ED7353"/>
    <w:rsid w:val="00EE01BB"/>
    <w:rsid w:val="00EE0B3A"/>
    <w:rsid w:val="00EE1282"/>
    <w:rsid w:val="00EE1D83"/>
    <w:rsid w:val="00EE1F5B"/>
    <w:rsid w:val="00EE201E"/>
    <w:rsid w:val="00EE2679"/>
    <w:rsid w:val="00EE2DE0"/>
    <w:rsid w:val="00EE4266"/>
    <w:rsid w:val="00EE5B1D"/>
    <w:rsid w:val="00EE5B5E"/>
    <w:rsid w:val="00EE5C10"/>
    <w:rsid w:val="00EE6121"/>
    <w:rsid w:val="00EE6C12"/>
    <w:rsid w:val="00EE6EB6"/>
    <w:rsid w:val="00EF0490"/>
    <w:rsid w:val="00EF0E7E"/>
    <w:rsid w:val="00EF0F74"/>
    <w:rsid w:val="00EF19A7"/>
    <w:rsid w:val="00EF1B7F"/>
    <w:rsid w:val="00EF1EF5"/>
    <w:rsid w:val="00EF541A"/>
    <w:rsid w:val="00EF5567"/>
    <w:rsid w:val="00EF5AF7"/>
    <w:rsid w:val="00EF64E5"/>
    <w:rsid w:val="00EF6C6A"/>
    <w:rsid w:val="00F00126"/>
    <w:rsid w:val="00F017A0"/>
    <w:rsid w:val="00F01BE7"/>
    <w:rsid w:val="00F02AA1"/>
    <w:rsid w:val="00F036A3"/>
    <w:rsid w:val="00F03EFA"/>
    <w:rsid w:val="00F03FE7"/>
    <w:rsid w:val="00F046FD"/>
    <w:rsid w:val="00F05655"/>
    <w:rsid w:val="00F06539"/>
    <w:rsid w:val="00F06694"/>
    <w:rsid w:val="00F06961"/>
    <w:rsid w:val="00F07A9A"/>
    <w:rsid w:val="00F10308"/>
    <w:rsid w:val="00F109F4"/>
    <w:rsid w:val="00F10A65"/>
    <w:rsid w:val="00F10D0E"/>
    <w:rsid w:val="00F1130E"/>
    <w:rsid w:val="00F118F6"/>
    <w:rsid w:val="00F11F97"/>
    <w:rsid w:val="00F12546"/>
    <w:rsid w:val="00F127F2"/>
    <w:rsid w:val="00F13493"/>
    <w:rsid w:val="00F13CF7"/>
    <w:rsid w:val="00F151F4"/>
    <w:rsid w:val="00F16601"/>
    <w:rsid w:val="00F1770C"/>
    <w:rsid w:val="00F211CB"/>
    <w:rsid w:val="00F21699"/>
    <w:rsid w:val="00F22593"/>
    <w:rsid w:val="00F2271D"/>
    <w:rsid w:val="00F22A53"/>
    <w:rsid w:val="00F22C62"/>
    <w:rsid w:val="00F23405"/>
    <w:rsid w:val="00F2479E"/>
    <w:rsid w:val="00F253F7"/>
    <w:rsid w:val="00F25DD1"/>
    <w:rsid w:val="00F26538"/>
    <w:rsid w:val="00F26AE2"/>
    <w:rsid w:val="00F27472"/>
    <w:rsid w:val="00F27BC1"/>
    <w:rsid w:val="00F30FBC"/>
    <w:rsid w:val="00F32379"/>
    <w:rsid w:val="00F32C87"/>
    <w:rsid w:val="00F32FA5"/>
    <w:rsid w:val="00F33B3E"/>
    <w:rsid w:val="00F342AF"/>
    <w:rsid w:val="00F3433E"/>
    <w:rsid w:val="00F34BC1"/>
    <w:rsid w:val="00F34E37"/>
    <w:rsid w:val="00F351F9"/>
    <w:rsid w:val="00F36958"/>
    <w:rsid w:val="00F369D9"/>
    <w:rsid w:val="00F36F7D"/>
    <w:rsid w:val="00F36F9E"/>
    <w:rsid w:val="00F41200"/>
    <w:rsid w:val="00F42136"/>
    <w:rsid w:val="00F42BC1"/>
    <w:rsid w:val="00F430B1"/>
    <w:rsid w:val="00F46586"/>
    <w:rsid w:val="00F46A07"/>
    <w:rsid w:val="00F46FC8"/>
    <w:rsid w:val="00F473D0"/>
    <w:rsid w:val="00F51389"/>
    <w:rsid w:val="00F525EC"/>
    <w:rsid w:val="00F53355"/>
    <w:rsid w:val="00F53B0E"/>
    <w:rsid w:val="00F56A7A"/>
    <w:rsid w:val="00F571A3"/>
    <w:rsid w:val="00F607A6"/>
    <w:rsid w:val="00F60F47"/>
    <w:rsid w:val="00F62363"/>
    <w:rsid w:val="00F63F21"/>
    <w:rsid w:val="00F654DC"/>
    <w:rsid w:val="00F715C4"/>
    <w:rsid w:val="00F71616"/>
    <w:rsid w:val="00F716D5"/>
    <w:rsid w:val="00F71E9D"/>
    <w:rsid w:val="00F72698"/>
    <w:rsid w:val="00F72BFA"/>
    <w:rsid w:val="00F741D4"/>
    <w:rsid w:val="00F74928"/>
    <w:rsid w:val="00F75283"/>
    <w:rsid w:val="00F75A3B"/>
    <w:rsid w:val="00F77C37"/>
    <w:rsid w:val="00F77D4A"/>
    <w:rsid w:val="00F77FC6"/>
    <w:rsid w:val="00F80BB9"/>
    <w:rsid w:val="00F92CE5"/>
    <w:rsid w:val="00F945CF"/>
    <w:rsid w:val="00F956EC"/>
    <w:rsid w:val="00F970D4"/>
    <w:rsid w:val="00FA0243"/>
    <w:rsid w:val="00FA10E0"/>
    <w:rsid w:val="00FA21CC"/>
    <w:rsid w:val="00FA268F"/>
    <w:rsid w:val="00FA2D1D"/>
    <w:rsid w:val="00FA348C"/>
    <w:rsid w:val="00FA3A22"/>
    <w:rsid w:val="00FA4077"/>
    <w:rsid w:val="00FA5348"/>
    <w:rsid w:val="00FA57A2"/>
    <w:rsid w:val="00FA6560"/>
    <w:rsid w:val="00FA6B5B"/>
    <w:rsid w:val="00FA6BDC"/>
    <w:rsid w:val="00FA6C80"/>
    <w:rsid w:val="00FB08A6"/>
    <w:rsid w:val="00FB0BF7"/>
    <w:rsid w:val="00FB0DBC"/>
    <w:rsid w:val="00FB25B5"/>
    <w:rsid w:val="00FB2E15"/>
    <w:rsid w:val="00FB3B3A"/>
    <w:rsid w:val="00FB4B9B"/>
    <w:rsid w:val="00FB51F0"/>
    <w:rsid w:val="00FB5491"/>
    <w:rsid w:val="00FB6B4E"/>
    <w:rsid w:val="00FB7306"/>
    <w:rsid w:val="00FB75F5"/>
    <w:rsid w:val="00FC003F"/>
    <w:rsid w:val="00FC0560"/>
    <w:rsid w:val="00FC083A"/>
    <w:rsid w:val="00FC091D"/>
    <w:rsid w:val="00FC0BB5"/>
    <w:rsid w:val="00FC0FAE"/>
    <w:rsid w:val="00FC11C6"/>
    <w:rsid w:val="00FC14F2"/>
    <w:rsid w:val="00FC191D"/>
    <w:rsid w:val="00FC7DC2"/>
    <w:rsid w:val="00FD0F3C"/>
    <w:rsid w:val="00FD1524"/>
    <w:rsid w:val="00FD17B5"/>
    <w:rsid w:val="00FD23BD"/>
    <w:rsid w:val="00FD409F"/>
    <w:rsid w:val="00FD56FE"/>
    <w:rsid w:val="00FD763E"/>
    <w:rsid w:val="00FE055B"/>
    <w:rsid w:val="00FE15EE"/>
    <w:rsid w:val="00FE1B5F"/>
    <w:rsid w:val="00FE2820"/>
    <w:rsid w:val="00FE2D9D"/>
    <w:rsid w:val="00FE40DF"/>
    <w:rsid w:val="00FE40FD"/>
    <w:rsid w:val="00FE4E6A"/>
    <w:rsid w:val="00FE559B"/>
    <w:rsid w:val="00FE5AD3"/>
    <w:rsid w:val="00FE6220"/>
    <w:rsid w:val="00FE6714"/>
    <w:rsid w:val="00FE68A0"/>
    <w:rsid w:val="00FE7C7E"/>
    <w:rsid w:val="00FF0452"/>
    <w:rsid w:val="00FF09A3"/>
    <w:rsid w:val="00FF0BB1"/>
    <w:rsid w:val="00FF10F2"/>
    <w:rsid w:val="00FF1718"/>
    <w:rsid w:val="00FF483F"/>
    <w:rsid w:val="00FF4DA0"/>
    <w:rsid w:val="00FF4ECC"/>
    <w:rsid w:val="00FF5599"/>
    <w:rsid w:val="00FF69A7"/>
    <w:rsid w:val="00FF734B"/>
    <w:rsid w:val="00FF7718"/>
    <w:rsid w:val="00FF778F"/>
    <w:rsid w:val="016FAD81"/>
    <w:rsid w:val="01DBADA5"/>
    <w:rsid w:val="052CA89A"/>
    <w:rsid w:val="05635A0A"/>
    <w:rsid w:val="0601FDD8"/>
    <w:rsid w:val="0A7819F8"/>
    <w:rsid w:val="0B4DD3F0"/>
    <w:rsid w:val="0B7B666A"/>
    <w:rsid w:val="0BB7ACC9"/>
    <w:rsid w:val="0C029805"/>
    <w:rsid w:val="0E7E5634"/>
    <w:rsid w:val="127F1248"/>
    <w:rsid w:val="158A15F9"/>
    <w:rsid w:val="1678F690"/>
    <w:rsid w:val="1C4977F7"/>
    <w:rsid w:val="1ED69894"/>
    <w:rsid w:val="1FB34D21"/>
    <w:rsid w:val="2204B839"/>
    <w:rsid w:val="235AD154"/>
    <w:rsid w:val="243F80C8"/>
    <w:rsid w:val="24783DBD"/>
    <w:rsid w:val="2B5AFF46"/>
    <w:rsid w:val="2C9BD61B"/>
    <w:rsid w:val="2D21909B"/>
    <w:rsid w:val="2D261B49"/>
    <w:rsid w:val="2EAFF5DE"/>
    <w:rsid w:val="3026228F"/>
    <w:rsid w:val="313D9868"/>
    <w:rsid w:val="3156259D"/>
    <w:rsid w:val="3237B09F"/>
    <w:rsid w:val="326D8F46"/>
    <w:rsid w:val="3587FF45"/>
    <w:rsid w:val="36E5C923"/>
    <w:rsid w:val="41E429A5"/>
    <w:rsid w:val="4214A028"/>
    <w:rsid w:val="43877EAD"/>
    <w:rsid w:val="43951380"/>
    <w:rsid w:val="4482616D"/>
    <w:rsid w:val="468FC74A"/>
    <w:rsid w:val="4D9600E4"/>
    <w:rsid w:val="4E868C8F"/>
    <w:rsid w:val="4FAFB98A"/>
    <w:rsid w:val="541CB2F0"/>
    <w:rsid w:val="56777F7A"/>
    <w:rsid w:val="57571D78"/>
    <w:rsid w:val="5D1C5FC3"/>
    <w:rsid w:val="60905631"/>
    <w:rsid w:val="60B0DB15"/>
    <w:rsid w:val="6142028A"/>
    <w:rsid w:val="63494A1D"/>
    <w:rsid w:val="6A152BA6"/>
    <w:rsid w:val="6A4191B0"/>
    <w:rsid w:val="6E3C1120"/>
    <w:rsid w:val="6EC6F76D"/>
    <w:rsid w:val="719AEA38"/>
    <w:rsid w:val="7617B0DB"/>
    <w:rsid w:val="7BB33FF9"/>
    <w:rsid w:val="7CD149A4"/>
    <w:rsid w:val="7DFA5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14599"/>
  <w15:chartTrackingRefBased/>
  <w15:docId w15:val="{E7AF43D5-AF53-482F-81D6-411CC517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B0"/>
  </w:style>
  <w:style w:type="paragraph" w:styleId="Heading1">
    <w:name w:val="heading 1"/>
    <w:basedOn w:val="Normal"/>
    <w:link w:val="Heading1Char"/>
    <w:uiPriority w:val="9"/>
    <w:qFormat/>
    <w:rsid w:val="006A0EB4"/>
    <w:pPr>
      <w:widowControl w:val="0"/>
      <w:autoSpaceDE w:val="0"/>
      <w:autoSpaceDN w:val="0"/>
      <w:spacing w:after="0" w:line="240" w:lineRule="auto"/>
      <w:outlineLvl w:val="0"/>
    </w:pPr>
    <w:rPr>
      <w:rFonts w:ascii="Gotham Bold" w:eastAsia="Gotham Bold" w:hAnsi="Gotham Bold" w:cs="Gotham Bold"/>
      <w:b/>
      <w:bCs/>
      <w:sz w:val="24"/>
      <w:szCs w:val="24"/>
    </w:rPr>
  </w:style>
  <w:style w:type="paragraph" w:styleId="Heading2">
    <w:name w:val="heading 2"/>
    <w:basedOn w:val="Normal"/>
    <w:next w:val="Normal"/>
    <w:link w:val="Heading2Char"/>
    <w:uiPriority w:val="9"/>
    <w:semiHidden/>
    <w:unhideWhenUsed/>
    <w:qFormat/>
    <w:rsid w:val="008C074F"/>
    <w:pPr>
      <w:keepNext/>
      <w:keepLines/>
      <w:spacing w:before="40" w:after="0"/>
      <w:outlineLvl w:val="1"/>
    </w:pPr>
    <w:rPr>
      <w:rFonts w:asciiTheme="majorHAnsi" w:eastAsiaTheme="majorEastAsia" w:hAnsiTheme="majorHAnsi" w:cstheme="majorBidi"/>
      <w:color w:val="9E000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B4"/>
  </w:style>
  <w:style w:type="paragraph" w:styleId="Footer">
    <w:name w:val="footer"/>
    <w:basedOn w:val="Normal"/>
    <w:link w:val="FooterChar"/>
    <w:uiPriority w:val="99"/>
    <w:unhideWhenUsed/>
    <w:rsid w:val="006A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B4"/>
  </w:style>
  <w:style w:type="character" w:customStyle="1" w:styleId="Heading1Char">
    <w:name w:val="Heading 1 Char"/>
    <w:basedOn w:val="DefaultParagraphFont"/>
    <w:link w:val="Heading1"/>
    <w:uiPriority w:val="9"/>
    <w:rsid w:val="006A0EB4"/>
    <w:rPr>
      <w:rFonts w:ascii="Gotham Bold" w:eastAsia="Gotham Bold" w:hAnsi="Gotham Bold" w:cs="Gotham Bold"/>
      <w:b/>
      <w:bCs/>
      <w:sz w:val="24"/>
      <w:szCs w:val="24"/>
    </w:rPr>
  </w:style>
  <w:style w:type="paragraph" w:styleId="ListParagraph">
    <w:name w:val="List Paragraph"/>
    <w:basedOn w:val="Normal"/>
    <w:link w:val="ListParagraphChar"/>
    <w:uiPriority w:val="34"/>
    <w:qFormat/>
    <w:rsid w:val="006A0EB4"/>
    <w:pPr>
      <w:widowControl w:val="0"/>
      <w:autoSpaceDE w:val="0"/>
      <w:autoSpaceDN w:val="0"/>
      <w:spacing w:after="0" w:line="240" w:lineRule="auto"/>
    </w:pPr>
    <w:rPr>
      <w:rFonts w:ascii="Gotham Book" w:eastAsia="Gotham Book" w:hAnsi="Gotham Book" w:cs="Gotham Book"/>
    </w:rPr>
  </w:style>
  <w:style w:type="character" w:customStyle="1" w:styleId="ListParagraphChar">
    <w:name w:val="List Paragraph Char"/>
    <w:basedOn w:val="DefaultParagraphFont"/>
    <w:link w:val="ListParagraph"/>
    <w:uiPriority w:val="34"/>
    <w:locked/>
    <w:rsid w:val="006A0EB4"/>
    <w:rPr>
      <w:rFonts w:ascii="Gotham Book" w:eastAsia="Gotham Book" w:hAnsi="Gotham Book" w:cs="Gotham Book"/>
    </w:rPr>
  </w:style>
  <w:style w:type="paragraph" w:customStyle="1" w:styleId="TableParagraph">
    <w:name w:val="Table Paragraph"/>
    <w:basedOn w:val="Normal"/>
    <w:uiPriority w:val="1"/>
    <w:qFormat/>
    <w:rsid w:val="00653798"/>
    <w:pPr>
      <w:widowControl w:val="0"/>
      <w:autoSpaceDE w:val="0"/>
      <w:autoSpaceDN w:val="0"/>
      <w:spacing w:after="0" w:line="240" w:lineRule="auto"/>
      <w:ind w:left="79"/>
    </w:pPr>
    <w:rPr>
      <w:rFonts w:ascii="Gotham Book" w:eastAsia="Gotham Book" w:hAnsi="Gotham Book" w:cs="Gotham Book"/>
    </w:rPr>
  </w:style>
  <w:style w:type="table" w:styleId="TableGrid">
    <w:name w:val="Table Grid"/>
    <w:basedOn w:val="TableNormal"/>
    <w:uiPriority w:val="39"/>
    <w:rsid w:val="0065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D35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1966C7"/>
    <w:rPr>
      <w:sz w:val="16"/>
      <w:szCs w:val="16"/>
    </w:rPr>
  </w:style>
  <w:style w:type="paragraph" w:styleId="CommentText">
    <w:name w:val="annotation text"/>
    <w:basedOn w:val="Normal"/>
    <w:link w:val="CommentTextChar"/>
    <w:uiPriority w:val="99"/>
    <w:unhideWhenUsed/>
    <w:rsid w:val="001966C7"/>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uiPriority w:val="99"/>
    <w:rsid w:val="001966C7"/>
    <w:rPr>
      <w:rFonts w:ascii="Times New Roman" w:eastAsia="Times New Roman" w:hAnsi="Times New Roman" w:cs="Times New Roman"/>
      <w:sz w:val="20"/>
      <w:szCs w:val="20"/>
      <w:lang w:val="en-CA"/>
    </w:rPr>
  </w:style>
  <w:style w:type="character" w:styleId="PageNumber">
    <w:name w:val="page number"/>
    <w:basedOn w:val="DefaultParagraphFont"/>
    <w:uiPriority w:val="99"/>
    <w:semiHidden/>
    <w:unhideWhenUsed/>
    <w:rsid w:val="00DA4B23"/>
  </w:style>
  <w:style w:type="paragraph" w:styleId="CommentSubject">
    <w:name w:val="annotation subject"/>
    <w:basedOn w:val="CommentText"/>
    <w:next w:val="CommentText"/>
    <w:link w:val="CommentSubjectChar"/>
    <w:uiPriority w:val="99"/>
    <w:semiHidden/>
    <w:unhideWhenUsed/>
    <w:rsid w:val="00CA1B74"/>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74"/>
    <w:rPr>
      <w:rFonts w:ascii="Times New Roman" w:eastAsia="Times New Roman" w:hAnsi="Times New Roman" w:cs="Times New Roman"/>
      <w:b/>
      <w:bCs/>
      <w:sz w:val="20"/>
      <w:szCs w:val="20"/>
      <w:lang w:val="en-CA"/>
    </w:rPr>
  </w:style>
  <w:style w:type="character" w:styleId="Hyperlink">
    <w:name w:val="Hyperlink"/>
    <w:basedOn w:val="DefaultParagraphFont"/>
    <w:uiPriority w:val="99"/>
    <w:unhideWhenUsed/>
    <w:rsid w:val="00020954"/>
    <w:rPr>
      <w:color w:val="0563C1" w:themeColor="hyperlink"/>
      <w:u w:val="single"/>
    </w:rPr>
  </w:style>
  <w:style w:type="character" w:styleId="UnresolvedMention">
    <w:name w:val="Unresolved Mention"/>
    <w:basedOn w:val="DefaultParagraphFont"/>
    <w:uiPriority w:val="99"/>
    <w:unhideWhenUsed/>
    <w:rsid w:val="00020954"/>
    <w:rPr>
      <w:color w:val="605E5C"/>
      <w:shd w:val="clear" w:color="auto" w:fill="E1DFDD"/>
    </w:rPr>
  </w:style>
  <w:style w:type="paragraph" w:styleId="Revision">
    <w:name w:val="Revision"/>
    <w:hidden/>
    <w:uiPriority w:val="99"/>
    <w:semiHidden/>
    <w:rsid w:val="00BE41CE"/>
    <w:pPr>
      <w:spacing w:after="0" w:line="240" w:lineRule="auto"/>
    </w:pPr>
  </w:style>
  <w:style w:type="character" w:styleId="Mention">
    <w:name w:val="Mention"/>
    <w:basedOn w:val="DefaultParagraphFont"/>
    <w:uiPriority w:val="99"/>
    <w:unhideWhenUsed/>
    <w:rsid w:val="00CD7542"/>
    <w:rPr>
      <w:color w:val="2B579A"/>
      <w:shd w:val="clear" w:color="auto" w:fill="E1DFDD"/>
    </w:rPr>
  </w:style>
  <w:style w:type="character" w:customStyle="1" w:styleId="A3">
    <w:name w:val="A3"/>
    <w:uiPriority w:val="99"/>
    <w:rsid w:val="004A34BD"/>
    <w:rPr>
      <w:rFonts w:cs="Gotham Book"/>
      <w:color w:val="221E1F"/>
      <w:sz w:val="16"/>
      <w:szCs w:val="16"/>
    </w:rPr>
  </w:style>
  <w:style w:type="character" w:styleId="FollowedHyperlink">
    <w:name w:val="FollowedHyperlink"/>
    <w:basedOn w:val="DefaultParagraphFont"/>
    <w:uiPriority w:val="99"/>
    <w:semiHidden/>
    <w:unhideWhenUsed/>
    <w:rsid w:val="00A84BBB"/>
    <w:rPr>
      <w:color w:val="954F72" w:themeColor="followedHyperlink"/>
      <w:u w:val="single"/>
    </w:rPr>
  </w:style>
  <w:style w:type="character" w:customStyle="1" w:styleId="cf01">
    <w:name w:val="cf01"/>
    <w:basedOn w:val="DefaultParagraphFont"/>
    <w:rsid w:val="00124EAC"/>
    <w:rPr>
      <w:rFonts w:ascii="Segoe UI" w:hAnsi="Segoe UI" w:cs="Segoe UI" w:hint="default"/>
      <w:sz w:val="18"/>
      <w:szCs w:val="18"/>
    </w:rPr>
  </w:style>
  <w:style w:type="character" w:customStyle="1" w:styleId="normaltextrun">
    <w:name w:val="normaltextrun"/>
    <w:basedOn w:val="DefaultParagraphFont"/>
    <w:rsid w:val="00955434"/>
  </w:style>
  <w:style w:type="character" w:customStyle="1" w:styleId="findhit">
    <w:name w:val="findhit"/>
    <w:basedOn w:val="DefaultParagraphFont"/>
    <w:rsid w:val="00955434"/>
  </w:style>
  <w:style w:type="character" w:customStyle="1" w:styleId="cf11">
    <w:name w:val="cf11"/>
    <w:basedOn w:val="DefaultParagraphFont"/>
    <w:rsid w:val="00213E08"/>
    <w:rPr>
      <w:rFonts w:ascii="Segoe UI" w:hAnsi="Segoe UI" w:cs="Segoe UI" w:hint="default"/>
      <w:color w:val="041726"/>
      <w:sz w:val="18"/>
      <w:szCs w:val="18"/>
    </w:rPr>
  </w:style>
  <w:style w:type="paragraph" w:customStyle="1" w:styleId="pf0">
    <w:name w:val="pf0"/>
    <w:basedOn w:val="Normal"/>
    <w:rsid w:val="00B85ED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i-provider">
    <w:name w:val="ui-provider"/>
    <w:basedOn w:val="DefaultParagraphFont"/>
    <w:rsid w:val="00FB0DBC"/>
  </w:style>
  <w:style w:type="character" w:customStyle="1" w:styleId="Heading2Char">
    <w:name w:val="Heading 2 Char"/>
    <w:basedOn w:val="DefaultParagraphFont"/>
    <w:link w:val="Heading2"/>
    <w:uiPriority w:val="9"/>
    <w:semiHidden/>
    <w:rsid w:val="008C074F"/>
    <w:rPr>
      <w:rFonts w:asciiTheme="majorHAnsi" w:eastAsiaTheme="majorEastAsia" w:hAnsiTheme="majorHAnsi" w:cstheme="majorBidi"/>
      <w:color w:val="9E0000" w:themeColor="accent1" w:themeShade="BF"/>
      <w:sz w:val="26"/>
      <w:szCs w:val="26"/>
    </w:rPr>
  </w:style>
  <w:style w:type="paragraph" w:styleId="NormalWeb">
    <w:name w:val="Normal (Web)"/>
    <w:basedOn w:val="Normal"/>
    <w:uiPriority w:val="99"/>
    <w:unhideWhenUsed/>
    <w:rsid w:val="00EE1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wrap">
    <w:name w:val="text-nowrap"/>
    <w:basedOn w:val="DefaultParagraphFont"/>
    <w:rsid w:val="00F10A65"/>
  </w:style>
  <w:style w:type="character" w:customStyle="1" w:styleId="font-italic">
    <w:name w:val="font-italic"/>
    <w:basedOn w:val="DefaultParagraphFont"/>
    <w:rsid w:val="00F10A65"/>
  </w:style>
  <w:style w:type="character" w:customStyle="1" w:styleId="tel-no-color-change">
    <w:name w:val="tel-no-color-change"/>
    <w:basedOn w:val="DefaultParagraphFont"/>
    <w:rsid w:val="00F10A65"/>
  </w:style>
  <w:style w:type="character" w:customStyle="1" w:styleId="cf21">
    <w:name w:val="cf21"/>
    <w:basedOn w:val="DefaultParagraphFont"/>
    <w:rsid w:val="000B294A"/>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407">
      <w:bodyDiv w:val="1"/>
      <w:marLeft w:val="0"/>
      <w:marRight w:val="0"/>
      <w:marTop w:val="0"/>
      <w:marBottom w:val="0"/>
      <w:divBdr>
        <w:top w:val="none" w:sz="0" w:space="0" w:color="auto"/>
        <w:left w:val="none" w:sz="0" w:space="0" w:color="auto"/>
        <w:bottom w:val="none" w:sz="0" w:space="0" w:color="auto"/>
        <w:right w:val="none" w:sz="0" w:space="0" w:color="auto"/>
      </w:divBdr>
    </w:div>
    <w:div w:id="179586413">
      <w:bodyDiv w:val="1"/>
      <w:marLeft w:val="0"/>
      <w:marRight w:val="0"/>
      <w:marTop w:val="0"/>
      <w:marBottom w:val="0"/>
      <w:divBdr>
        <w:top w:val="none" w:sz="0" w:space="0" w:color="auto"/>
        <w:left w:val="none" w:sz="0" w:space="0" w:color="auto"/>
        <w:bottom w:val="none" w:sz="0" w:space="0" w:color="auto"/>
        <w:right w:val="none" w:sz="0" w:space="0" w:color="auto"/>
      </w:divBdr>
    </w:div>
    <w:div w:id="315691594">
      <w:bodyDiv w:val="1"/>
      <w:marLeft w:val="0"/>
      <w:marRight w:val="0"/>
      <w:marTop w:val="0"/>
      <w:marBottom w:val="0"/>
      <w:divBdr>
        <w:top w:val="none" w:sz="0" w:space="0" w:color="auto"/>
        <w:left w:val="none" w:sz="0" w:space="0" w:color="auto"/>
        <w:bottom w:val="none" w:sz="0" w:space="0" w:color="auto"/>
        <w:right w:val="none" w:sz="0" w:space="0" w:color="auto"/>
      </w:divBdr>
    </w:div>
    <w:div w:id="450901805">
      <w:bodyDiv w:val="1"/>
      <w:marLeft w:val="0"/>
      <w:marRight w:val="0"/>
      <w:marTop w:val="0"/>
      <w:marBottom w:val="0"/>
      <w:divBdr>
        <w:top w:val="none" w:sz="0" w:space="0" w:color="auto"/>
        <w:left w:val="none" w:sz="0" w:space="0" w:color="auto"/>
        <w:bottom w:val="none" w:sz="0" w:space="0" w:color="auto"/>
        <w:right w:val="none" w:sz="0" w:space="0" w:color="auto"/>
      </w:divBdr>
    </w:div>
    <w:div w:id="459688709">
      <w:bodyDiv w:val="1"/>
      <w:marLeft w:val="0"/>
      <w:marRight w:val="0"/>
      <w:marTop w:val="0"/>
      <w:marBottom w:val="0"/>
      <w:divBdr>
        <w:top w:val="none" w:sz="0" w:space="0" w:color="auto"/>
        <w:left w:val="none" w:sz="0" w:space="0" w:color="auto"/>
        <w:bottom w:val="none" w:sz="0" w:space="0" w:color="auto"/>
        <w:right w:val="none" w:sz="0" w:space="0" w:color="auto"/>
      </w:divBdr>
      <w:divsChild>
        <w:div w:id="573318521">
          <w:marLeft w:val="547"/>
          <w:marRight w:val="0"/>
          <w:marTop w:val="0"/>
          <w:marBottom w:val="0"/>
          <w:divBdr>
            <w:top w:val="none" w:sz="0" w:space="0" w:color="auto"/>
            <w:left w:val="none" w:sz="0" w:space="0" w:color="auto"/>
            <w:bottom w:val="none" w:sz="0" w:space="0" w:color="auto"/>
            <w:right w:val="none" w:sz="0" w:space="0" w:color="auto"/>
          </w:divBdr>
        </w:div>
      </w:divsChild>
    </w:div>
    <w:div w:id="545219966">
      <w:bodyDiv w:val="1"/>
      <w:marLeft w:val="0"/>
      <w:marRight w:val="0"/>
      <w:marTop w:val="0"/>
      <w:marBottom w:val="0"/>
      <w:divBdr>
        <w:top w:val="none" w:sz="0" w:space="0" w:color="auto"/>
        <w:left w:val="none" w:sz="0" w:space="0" w:color="auto"/>
        <w:bottom w:val="none" w:sz="0" w:space="0" w:color="auto"/>
        <w:right w:val="none" w:sz="0" w:space="0" w:color="auto"/>
      </w:divBdr>
      <w:divsChild>
        <w:div w:id="487089066">
          <w:marLeft w:val="547"/>
          <w:marRight w:val="0"/>
          <w:marTop w:val="0"/>
          <w:marBottom w:val="0"/>
          <w:divBdr>
            <w:top w:val="none" w:sz="0" w:space="0" w:color="auto"/>
            <w:left w:val="none" w:sz="0" w:space="0" w:color="auto"/>
            <w:bottom w:val="none" w:sz="0" w:space="0" w:color="auto"/>
            <w:right w:val="none" w:sz="0" w:space="0" w:color="auto"/>
          </w:divBdr>
        </w:div>
      </w:divsChild>
    </w:div>
    <w:div w:id="618144588">
      <w:bodyDiv w:val="1"/>
      <w:marLeft w:val="0"/>
      <w:marRight w:val="0"/>
      <w:marTop w:val="0"/>
      <w:marBottom w:val="0"/>
      <w:divBdr>
        <w:top w:val="none" w:sz="0" w:space="0" w:color="auto"/>
        <w:left w:val="none" w:sz="0" w:space="0" w:color="auto"/>
        <w:bottom w:val="none" w:sz="0" w:space="0" w:color="auto"/>
        <w:right w:val="none" w:sz="0" w:space="0" w:color="auto"/>
      </w:divBdr>
    </w:div>
    <w:div w:id="694887440">
      <w:bodyDiv w:val="1"/>
      <w:marLeft w:val="0"/>
      <w:marRight w:val="0"/>
      <w:marTop w:val="0"/>
      <w:marBottom w:val="0"/>
      <w:divBdr>
        <w:top w:val="none" w:sz="0" w:space="0" w:color="auto"/>
        <w:left w:val="none" w:sz="0" w:space="0" w:color="auto"/>
        <w:bottom w:val="none" w:sz="0" w:space="0" w:color="auto"/>
        <w:right w:val="none" w:sz="0" w:space="0" w:color="auto"/>
      </w:divBdr>
    </w:div>
    <w:div w:id="704254011">
      <w:bodyDiv w:val="1"/>
      <w:marLeft w:val="0"/>
      <w:marRight w:val="0"/>
      <w:marTop w:val="0"/>
      <w:marBottom w:val="0"/>
      <w:divBdr>
        <w:top w:val="none" w:sz="0" w:space="0" w:color="auto"/>
        <w:left w:val="none" w:sz="0" w:space="0" w:color="auto"/>
        <w:bottom w:val="none" w:sz="0" w:space="0" w:color="auto"/>
        <w:right w:val="none" w:sz="0" w:space="0" w:color="auto"/>
      </w:divBdr>
    </w:div>
    <w:div w:id="789127684">
      <w:bodyDiv w:val="1"/>
      <w:marLeft w:val="0"/>
      <w:marRight w:val="0"/>
      <w:marTop w:val="0"/>
      <w:marBottom w:val="0"/>
      <w:divBdr>
        <w:top w:val="none" w:sz="0" w:space="0" w:color="auto"/>
        <w:left w:val="none" w:sz="0" w:space="0" w:color="auto"/>
        <w:bottom w:val="none" w:sz="0" w:space="0" w:color="auto"/>
        <w:right w:val="none" w:sz="0" w:space="0" w:color="auto"/>
      </w:divBdr>
      <w:divsChild>
        <w:div w:id="441803193">
          <w:marLeft w:val="547"/>
          <w:marRight w:val="0"/>
          <w:marTop w:val="0"/>
          <w:marBottom w:val="120"/>
          <w:divBdr>
            <w:top w:val="none" w:sz="0" w:space="0" w:color="auto"/>
            <w:left w:val="none" w:sz="0" w:space="0" w:color="auto"/>
            <w:bottom w:val="none" w:sz="0" w:space="0" w:color="auto"/>
            <w:right w:val="none" w:sz="0" w:space="0" w:color="auto"/>
          </w:divBdr>
        </w:div>
        <w:div w:id="300043778">
          <w:marLeft w:val="547"/>
          <w:marRight w:val="0"/>
          <w:marTop w:val="0"/>
          <w:marBottom w:val="120"/>
          <w:divBdr>
            <w:top w:val="none" w:sz="0" w:space="0" w:color="auto"/>
            <w:left w:val="none" w:sz="0" w:space="0" w:color="auto"/>
            <w:bottom w:val="none" w:sz="0" w:space="0" w:color="auto"/>
            <w:right w:val="none" w:sz="0" w:space="0" w:color="auto"/>
          </w:divBdr>
        </w:div>
      </w:divsChild>
    </w:div>
    <w:div w:id="915549783">
      <w:bodyDiv w:val="1"/>
      <w:marLeft w:val="0"/>
      <w:marRight w:val="0"/>
      <w:marTop w:val="0"/>
      <w:marBottom w:val="0"/>
      <w:divBdr>
        <w:top w:val="none" w:sz="0" w:space="0" w:color="auto"/>
        <w:left w:val="none" w:sz="0" w:space="0" w:color="auto"/>
        <w:bottom w:val="none" w:sz="0" w:space="0" w:color="auto"/>
        <w:right w:val="none" w:sz="0" w:space="0" w:color="auto"/>
      </w:divBdr>
    </w:div>
    <w:div w:id="938366295">
      <w:bodyDiv w:val="1"/>
      <w:marLeft w:val="0"/>
      <w:marRight w:val="0"/>
      <w:marTop w:val="0"/>
      <w:marBottom w:val="0"/>
      <w:divBdr>
        <w:top w:val="none" w:sz="0" w:space="0" w:color="auto"/>
        <w:left w:val="none" w:sz="0" w:space="0" w:color="auto"/>
        <w:bottom w:val="none" w:sz="0" w:space="0" w:color="auto"/>
        <w:right w:val="none" w:sz="0" w:space="0" w:color="auto"/>
      </w:divBdr>
      <w:divsChild>
        <w:div w:id="14313926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61631358">
      <w:bodyDiv w:val="1"/>
      <w:marLeft w:val="0"/>
      <w:marRight w:val="0"/>
      <w:marTop w:val="0"/>
      <w:marBottom w:val="0"/>
      <w:divBdr>
        <w:top w:val="none" w:sz="0" w:space="0" w:color="auto"/>
        <w:left w:val="none" w:sz="0" w:space="0" w:color="auto"/>
        <w:bottom w:val="none" w:sz="0" w:space="0" w:color="auto"/>
        <w:right w:val="none" w:sz="0" w:space="0" w:color="auto"/>
      </w:divBdr>
    </w:div>
    <w:div w:id="1089542961">
      <w:bodyDiv w:val="1"/>
      <w:marLeft w:val="0"/>
      <w:marRight w:val="0"/>
      <w:marTop w:val="0"/>
      <w:marBottom w:val="0"/>
      <w:divBdr>
        <w:top w:val="none" w:sz="0" w:space="0" w:color="auto"/>
        <w:left w:val="none" w:sz="0" w:space="0" w:color="auto"/>
        <w:bottom w:val="none" w:sz="0" w:space="0" w:color="auto"/>
        <w:right w:val="none" w:sz="0" w:space="0" w:color="auto"/>
      </w:divBdr>
    </w:div>
    <w:div w:id="1098141682">
      <w:bodyDiv w:val="1"/>
      <w:marLeft w:val="0"/>
      <w:marRight w:val="0"/>
      <w:marTop w:val="0"/>
      <w:marBottom w:val="0"/>
      <w:divBdr>
        <w:top w:val="none" w:sz="0" w:space="0" w:color="auto"/>
        <w:left w:val="none" w:sz="0" w:space="0" w:color="auto"/>
        <w:bottom w:val="none" w:sz="0" w:space="0" w:color="auto"/>
        <w:right w:val="none" w:sz="0" w:space="0" w:color="auto"/>
      </w:divBdr>
    </w:div>
    <w:div w:id="1169560659">
      <w:bodyDiv w:val="1"/>
      <w:marLeft w:val="0"/>
      <w:marRight w:val="0"/>
      <w:marTop w:val="0"/>
      <w:marBottom w:val="0"/>
      <w:divBdr>
        <w:top w:val="none" w:sz="0" w:space="0" w:color="auto"/>
        <w:left w:val="none" w:sz="0" w:space="0" w:color="auto"/>
        <w:bottom w:val="none" w:sz="0" w:space="0" w:color="auto"/>
        <w:right w:val="none" w:sz="0" w:space="0" w:color="auto"/>
      </w:divBdr>
    </w:div>
    <w:div w:id="1303123713">
      <w:bodyDiv w:val="1"/>
      <w:marLeft w:val="0"/>
      <w:marRight w:val="0"/>
      <w:marTop w:val="0"/>
      <w:marBottom w:val="0"/>
      <w:divBdr>
        <w:top w:val="none" w:sz="0" w:space="0" w:color="auto"/>
        <w:left w:val="none" w:sz="0" w:space="0" w:color="auto"/>
        <w:bottom w:val="none" w:sz="0" w:space="0" w:color="auto"/>
        <w:right w:val="none" w:sz="0" w:space="0" w:color="auto"/>
      </w:divBdr>
      <w:divsChild>
        <w:div w:id="182828170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72729030">
      <w:bodyDiv w:val="1"/>
      <w:marLeft w:val="0"/>
      <w:marRight w:val="0"/>
      <w:marTop w:val="0"/>
      <w:marBottom w:val="0"/>
      <w:divBdr>
        <w:top w:val="none" w:sz="0" w:space="0" w:color="auto"/>
        <w:left w:val="none" w:sz="0" w:space="0" w:color="auto"/>
        <w:bottom w:val="none" w:sz="0" w:space="0" w:color="auto"/>
        <w:right w:val="none" w:sz="0" w:space="0" w:color="auto"/>
      </w:divBdr>
    </w:div>
    <w:div w:id="1463692790">
      <w:bodyDiv w:val="1"/>
      <w:marLeft w:val="0"/>
      <w:marRight w:val="0"/>
      <w:marTop w:val="0"/>
      <w:marBottom w:val="0"/>
      <w:divBdr>
        <w:top w:val="none" w:sz="0" w:space="0" w:color="auto"/>
        <w:left w:val="none" w:sz="0" w:space="0" w:color="auto"/>
        <w:bottom w:val="none" w:sz="0" w:space="0" w:color="auto"/>
        <w:right w:val="none" w:sz="0" w:space="0" w:color="auto"/>
      </w:divBdr>
    </w:div>
    <w:div w:id="1677615358">
      <w:bodyDiv w:val="1"/>
      <w:marLeft w:val="0"/>
      <w:marRight w:val="0"/>
      <w:marTop w:val="0"/>
      <w:marBottom w:val="0"/>
      <w:divBdr>
        <w:top w:val="none" w:sz="0" w:space="0" w:color="auto"/>
        <w:left w:val="none" w:sz="0" w:space="0" w:color="auto"/>
        <w:bottom w:val="none" w:sz="0" w:space="0" w:color="auto"/>
        <w:right w:val="none" w:sz="0" w:space="0" w:color="auto"/>
      </w:divBdr>
    </w:div>
    <w:div w:id="1683585272">
      <w:bodyDiv w:val="1"/>
      <w:marLeft w:val="0"/>
      <w:marRight w:val="0"/>
      <w:marTop w:val="0"/>
      <w:marBottom w:val="0"/>
      <w:divBdr>
        <w:top w:val="none" w:sz="0" w:space="0" w:color="auto"/>
        <w:left w:val="none" w:sz="0" w:space="0" w:color="auto"/>
        <w:bottom w:val="none" w:sz="0" w:space="0" w:color="auto"/>
        <w:right w:val="none" w:sz="0" w:space="0" w:color="auto"/>
      </w:divBdr>
    </w:div>
    <w:div w:id="1774397093">
      <w:bodyDiv w:val="1"/>
      <w:marLeft w:val="0"/>
      <w:marRight w:val="0"/>
      <w:marTop w:val="0"/>
      <w:marBottom w:val="0"/>
      <w:divBdr>
        <w:top w:val="none" w:sz="0" w:space="0" w:color="auto"/>
        <w:left w:val="none" w:sz="0" w:space="0" w:color="auto"/>
        <w:bottom w:val="none" w:sz="0" w:space="0" w:color="auto"/>
        <w:right w:val="none" w:sz="0" w:space="0" w:color="auto"/>
      </w:divBdr>
      <w:divsChild>
        <w:div w:id="789589949">
          <w:marLeft w:val="547"/>
          <w:marRight w:val="0"/>
          <w:marTop w:val="0"/>
          <w:marBottom w:val="0"/>
          <w:divBdr>
            <w:top w:val="none" w:sz="0" w:space="0" w:color="auto"/>
            <w:left w:val="none" w:sz="0" w:space="0" w:color="auto"/>
            <w:bottom w:val="none" w:sz="0" w:space="0" w:color="auto"/>
            <w:right w:val="none" w:sz="0" w:space="0" w:color="auto"/>
          </w:divBdr>
        </w:div>
      </w:divsChild>
    </w:div>
    <w:div w:id="1831821730">
      <w:bodyDiv w:val="1"/>
      <w:marLeft w:val="0"/>
      <w:marRight w:val="0"/>
      <w:marTop w:val="0"/>
      <w:marBottom w:val="0"/>
      <w:divBdr>
        <w:top w:val="none" w:sz="0" w:space="0" w:color="auto"/>
        <w:left w:val="none" w:sz="0" w:space="0" w:color="auto"/>
        <w:bottom w:val="none" w:sz="0" w:space="0" w:color="auto"/>
        <w:right w:val="none" w:sz="0" w:space="0" w:color="auto"/>
      </w:divBdr>
    </w:div>
    <w:div w:id="1831871563">
      <w:bodyDiv w:val="1"/>
      <w:marLeft w:val="0"/>
      <w:marRight w:val="0"/>
      <w:marTop w:val="0"/>
      <w:marBottom w:val="0"/>
      <w:divBdr>
        <w:top w:val="none" w:sz="0" w:space="0" w:color="auto"/>
        <w:left w:val="none" w:sz="0" w:space="0" w:color="auto"/>
        <w:bottom w:val="none" w:sz="0" w:space="0" w:color="auto"/>
        <w:right w:val="none" w:sz="0" w:space="0" w:color="auto"/>
      </w:divBdr>
    </w:div>
    <w:div w:id="1866862501">
      <w:bodyDiv w:val="1"/>
      <w:marLeft w:val="0"/>
      <w:marRight w:val="0"/>
      <w:marTop w:val="0"/>
      <w:marBottom w:val="0"/>
      <w:divBdr>
        <w:top w:val="none" w:sz="0" w:space="0" w:color="auto"/>
        <w:left w:val="none" w:sz="0" w:space="0" w:color="auto"/>
        <w:bottom w:val="none" w:sz="0" w:space="0" w:color="auto"/>
        <w:right w:val="none" w:sz="0" w:space="0" w:color="auto"/>
      </w:divBdr>
      <w:divsChild>
        <w:div w:id="12879014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00554706">
      <w:bodyDiv w:val="1"/>
      <w:marLeft w:val="0"/>
      <w:marRight w:val="0"/>
      <w:marTop w:val="0"/>
      <w:marBottom w:val="0"/>
      <w:divBdr>
        <w:top w:val="none" w:sz="0" w:space="0" w:color="auto"/>
        <w:left w:val="none" w:sz="0" w:space="0" w:color="auto"/>
        <w:bottom w:val="none" w:sz="0" w:space="0" w:color="auto"/>
        <w:right w:val="none" w:sz="0" w:space="0" w:color="auto"/>
      </w:divBdr>
    </w:div>
    <w:div w:id="1956212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589">
          <w:marLeft w:val="274"/>
          <w:marRight w:val="0"/>
          <w:marTop w:val="0"/>
          <w:marBottom w:val="0"/>
          <w:divBdr>
            <w:top w:val="none" w:sz="0" w:space="0" w:color="auto"/>
            <w:left w:val="none" w:sz="0" w:space="0" w:color="auto"/>
            <w:bottom w:val="none" w:sz="0" w:space="0" w:color="auto"/>
            <w:right w:val="none" w:sz="0" w:space="0" w:color="auto"/>
          </w:divBdr>
        </w:div>
      </w:divsChild>
    </w:div>
    <w:div w:id="1959558640">
      <w:bodyDiv w:val="1"/>
      <w:marLeft w:val="0"/>
      <w:marRight w:val="0"/>
      <w:marTop w:val="0"/>
      <w:marBottom w:val="0"/>
      <w:divBdr>
        <w:top w:val="none" w:sz="0" w:space="0" w:color="auto"/>
        <w:left w:val="none" w:sz="0" w:space="0" w:color="auto"/>
        <w:bottom w:val="none" w:sz="0" w:space="0" w:color="auto"/>
        <w:right w:val="none" w:sz="0" w:space="0" w:color="auto"/>
      </w:divBdr>
    </w:div>
    <w:div w:id="20433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drugs/resources-information-approved-drugs/fda-approves-olaparib-germline-brca-mutated-metastatic-breast-canc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ynparzahc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N Storyboard Template">
      <a:dk1>
        <a:srgbClr val="041726"/>
      </a:dk1>
      <a:lt1>
        <a:srgbClr val="E6EBEF"/>
      </a:lt1>
      <a:dk2>
        <a:srgbClr val="324C61"/>
      </a:dk2>
      <a:lt2>
        <a:srgbClr val="829BAD"/>
      </a:lt2>
      <a:accent1>
        <a:srgbClr val="D30000"/>
      </a:accent1>
      <a:accent2>
        <a:srgbClr val="565ADD"/>
      </a:accent2>
      <a:accent3>
        <a:srgbClr val="00A3AD"/>
      </a:accent3>
      <a:accent4>
        <a:srgbClr val="003399"/>
      </a:accent4>
      <a:accent5>
        <a:srgbClr val="000000"/>
      </a:accent5>
      <a:accent6>
        <a:srgbClr val="FFFFFF"/>
      </a:accent6>
      <a:hlink>
        <a:srgbClr val="0563C1"/>
      </a:hlink>
      <a:folHlink>
        <a:srgbClr val="954F72"/>
      </a:folHlink>
    </a:clrScheme>
    <a:fontScheme name="RN Storyboard Template">
      <a:majorFont>
        <a:latin typeface="Karla"/>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4F6FC3741E442B3559C147FF02450" ma:contentTypeVersion="11" ma:contentTypeDescription="Create a new document." ma:contentTypeScope="" ma:versionID="57c60dfaaab657aedb82986330da1d38">
  <xsd:schema xmlns:xsd="http://www.w3.org/2001/XMLSchema" xmlns:xs="http://www.w3.org/2001/XMLSchema" xmlns:p="http://schemas.microsoft.com/office/2006/metadata/properties" xmlns:ns2="907612d6-afa9-43f3-b030-bc1d1f94b745" xmlns:ns3="72280e7f-7c4b-427b-aa9a-e0a472190acc" targetNamespace="http://schemas.microsoft.com/office/2006/metadata/properties" ma:root="true" ma:fieldsID="33f0d2a6677f3ebe74dd6bdc059b5c4a" ns2:_="" ns3:_="">
    <xsd:import namespace="907612d6-afa9-43f3-b030-bc1d1f94b745"/>
    <xsd:import namespace="72280e7f-7c4b-427b-aa9a-e0a472190ac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612d6-afa9-43f3-b030-bc1d1f94b7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3d42b1d-48c7-46d9-9c77-f823453947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0e7f-7c4b-427b-aa9a-e0a472190a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1bed1c-8dd2-450b-a29b-4ae83a20ba38}" ma:internalName="TaxCatchAll" ma:showField="CatchAllData" ma:web="72280e7f-7c4b-427b-aa9a-e0a472190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612d6-afa9-43f3-b030-bc1d1f94b745">
      <Terms xmlns="http://schemas.microsoft.com/office/infopath/2007/PartnerControls"/>
    </lcf76f155ced4ddcb4097134ff3c332f>
    <TaxCatchAll xmlns="72280e7f-7c4b-427b-aa9a-e0a472190acc" xsi:nil="true"/>
  </documentManagement>
</p:properties>
</file>

<file path=customXml/itemProps1.xml><?xml version="1.0" encoding="utf-8"?>
<ds:datastoreItem xmlns:ds="http://schemas.openxmlformats.org/officeDocument/2006/customXml" ds:itemID="{BEB44B02-1ADE-4E6B-9CAC-778B68AF041B}">
  <ds:schemaRefs>
    <ds:schemaRef ds:uri="http://schemas.openxmlformats.org/officeDocument/2006/bibliography"/>
  </ds:schemaRefs>
</ds:datastoreItem>
</file>

<file path=customXml/itemProps2.xml><?xml version="1.0" encoding="utf-8"?>
<ds:datastoreItem xmlns:ds="http://schemas.openxmlformats.org/officeDocument/2006/customXml" ds:itemID="{BFC788F6-670D-4B60-86DA-40D557E7BE25}">
  <ds:schemaRefs>
    <ds:schemaRef ds:uri="http://schemas.microsoft.com/sharepoint/v3/contenttype/forms"/>
  </ds:schemaRefs>
</ds:datastoreItem>
</file>

<file path=customXml/itemProps3.xml><?xml version="1.0" encoding="utf-8"?>
<ds:datastoreItem xmlns:ds="http://schemas.openxmlformats.org/officeDocument/2006/customXml" ds:itemID="{9CCF1FEC-C5D9-4401-8A1E-BDB59EA8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612d6-afa9-43f3-b030-bc1d1f94b745"/>
    <ds:schemaRef ds:uri="72280e7f-7c4b-427b-aa9a-e0a47219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C3015-33FE-4C51-B78F-BCF110DE401D}">
  <ds:schemaRefs>
    <ds:schemaRef ds:uri="http://schemas.microsoft.com/office/2006/metadata/properties"/>
    <ds:schemaRef ds:uri="http://schemas.microsoft.com/office/infopath/2007/PartnerControls"/>
    <ds:schemaRef ds:uri="907612d6-afa9-43f3-b030-bc1d1f94b745"/>
    <ds:schemaRef ds:uri="72280e7f-7c4b-427b-aa9a-e0a472190acc"/>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4650</Words>
  <Characters>28652</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33236</CharactersWithSpaces>
  <SharedDoc>false</SharedDoc>
  <HLinks>
    <vt:vector size="24" baseType="variant">
      <vt:variant>
        <vt:i4>327719</vt:i4>
      </vt:variant>
      <vt:variant>
        <vt:i4>9</vt:i4>
      </vt:variant>
      <vt:variant>
        <vt:i4>0</vt:i4>
      </vt:variant>
      <vt:variant>
        <vt:i4>5</vt:i4>
      </vt:variant>
      <vt:variant>
        <vt:lpwstr>mailto:ABBATA02@pfizer.com</vt:lpwstr>
      </vt:variant>
      <vt:variant>
        <vt:lpwstr/>
      </vt:variant>
      <vt:variant>
        <vt:i4>327719</vt:i4>
      </vt:variant>
      <vt:variant>
        <vt:i4>6</vt:i4>
      </vt:variant>
      <vt:variant>
        <vt:i4>0</vt:i4>
      </vt:variant>
      <vt:variant>
        <vt:i4>5</vt:i4>
      </vt:variant>
      <vt:variant>
        <vt:lpwstr>mailto:ABBATA02@pfizer.com</vt:lpwstr>
      </vt:variant>
      <vt:variant>
        <vt:lpwstr/>
      </vt:variant>
      <vt:variant>
        <vt:i4>983089</vt:i4>
      </vt:variant>
      <vt:variant>
        <vt:i4>3</vt:i4>
      </vt:variant>
      <vt:variant>
        <vt:i4>0</vt:i4>
      </vt:variant>
      <vt:variant>
        <vt:i4>5</vt:i4>
      </vt:variant>
      <vt:variant>
        <vt:lpwstr>mailto:SHAHP62@pfizer.com</vt:lpwstr>
      </vt:variant>
      <vt:variant>
        <vt:lpwstr/>
      </vt:variant>
      <vt:variant>
        <vt:i4>3538949</vt:i4>
      </vt:variant>
      <vt:variant>
        <vt:i4>0</vt:i4>
      </vt:variant>
      <vt:variant>
        <vt:i4>0</vt:i4>
      </vt:variant>
      <vt:variant>
        <vt:i4>5</vt:i4>
      </vt:variant>
      <vt:variant>
        <vt:lpwstr>mailto:KULISN@pfizer.com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Barany, Ingrid</dc:creator>
  <cp:keywords/>
  <dc:description/>
  <cp:lastModifiedBy>Jabour, Joe</cp:lastModifiedBy>
  <cp:revision>7</cp:revision>
  <dcterms:created xsi:type="dcterms:W3CDTF">2025-03-07T09:11:00Z</dcterms:created>
  <dcterms:modified xsi:type="dcterms:W3CDTF">2025-03-11T15:19:00Z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0x01010051D8468F04BA204BBEE6B68C6984EA75</vt:lpwstr>
  </property>
  <property fmtid="{D5CDD505-2E9C-101B-9397-08002B2CF9AE}" pid="3" name="MSIP_Label_4791b42f-c435-42ca-9531-75a3f42aae3d_Enabled">
    <vt:lpwstr>true</vt:lpwstr>
  </property>
  <property fmtid="{D5CDD505-2E9C-101B-9397-08002B2CF9AE}" pid="4" name="MSIP_Label_4791b42f-c435-42ca-9531-75a3f42aae3d_SetDate">
    <vt:lpwstr>2023-07-17T13:36:42Z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74651e90-153b-4ae4-bdd0-a38a5dfbd30e</vt:lpwstr>
  </property>
  <property fmtid="{D5CDD505-2E9C-101B-9397-08002B2CF9AE}" pid="9" name="MSIP_Label_4791b42f-c435-42ca-9531-75a3f42aae3d_ContentBits">
    <vt:lpwstr>0</vt:lpwstr>
  </property>
  <property fmtid="{D5CDD505-2E9C-101B-9397-08002B2CF9AE}" pid="10" name="GrammarlyDocumentId">
    <vt:lpwstr>694e7543395db22ec935c7633caff1f1082318ed2e7dfae51fd2234f68d0f43f</vt:lpwstr>
  </property>
  <property fmtid="{D5CDD505-2E9C-101B-9397-08002B2CF9AE}" pid="11" name="MSIP_Label_d9088468-0951-4aef-9cc3-0a346e475ddc_Enabled">
    <vt:lpwstr>true</vt:lpwstr>
  </property>
  <property fmtid="{D5CDD505-2E9C-101B-9397-08002B2CF9AE}" pid="12" name="MSIP_Label_d9088468-0951-4aef-9cc3-0a346e475ddc_SetDate">
    <vt:lpwstr>2023-12-06T15:48:03Z</vt:lpwstr>
  </property>
  <property fmtid="{D5CDD505-2E9C-101B-9397-08002B2CF9AE}" pid="13" name="MSIP_Label_d9088468-0951-4aef-9cc3-0a346e475ddc_Method">
    <vt:lpwstr>Privileged</vt:lpwstr>
  </property>
  <property fmtid="{D5CDD505-2E9C-101B-9397-08002B2CF9AE}" pid="14" name="MSIP_Label_d9088468-0951-4aef-9cc3-0a346e475ddc_Name">
    <vt:lpwstr>Public</vt:lpwstr>
  </property>
  <property fmtid="{D5CDD505-2E9C-101B-9397-08002B2CF9AE}" pid="15" name="MSIP_Label_d9088468-0951-4aef-9cc3-0a346e475ddc_SiteId">
    <vt:lpwstr>aca3c8d6-aa71-4e1a-a10e-03572fc58c0b</vt:lpwstr>
  </property>
  <property fmtid="{D5CDD505-2E9C-101B-9397-08002B2CF9AE}" pid="16" name="MSIP_Label_d9088468-0951-4aef-9cc3-0a346e475ddc_ActionId">
    <vt:lpwstr>4f400035-face-4adf-ac0b-109b2a64abf0</vt:lpwstr>
  </property>
  <property fmtid="{D5CDD505-2E9C-101B-9397-08002B2CF9AE}" pid="17" name="MSIP_Label_d9088468-0951-4aef-9cc3-0a346e475ddc_ContentBits">
    <vt:lpwstr>0</vt:lpwstr>
  </property>
  <property fmtid="{D5CDD505-2E9C-101B-9397-08002B2CF9AE}" pid="18" name="MediaServiceImageTags">
    <vt:lpwstr/>
  </property>
</Properties>
</file>