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050" w:type="dxa"/>
        <w:tblInd w:w="175" w:type="dxa"/>
        <w:tblBorders>
          <w:top w:val="single" w:sz="4" w:space="0" w:color="829BAD" w:themeColor="background2"/>
          <w:left w:val="single" w:sz="4" w:space="0" w:color="829BAD" w:themeColor="background2"/>
          <w:bottom w:val="single" w:sz="4" w:space="0" w:color="829BAD" w:themeColor="background2"/>
          <w:right w:val="single" w:sz="4" w:space="0" w:color="829BAD" w:themeColor="background2"/>
          <w:insideH w:val="single" w:sz="4" w:space="0" w:color="829BAD" w:themeColor="background2"/>
          <w:insideV w:val="single" w:sz="4" w:space="0" w:color="829BAD" w:themeColor="background2"/>
        </w:tblBorders>
        <w:tblLayout w:type="fixed"/>
        <w:tblCellMar>
          <w:left w:w="0" w:type="dxa"/>
          <w:right w:w="0" w:type="dxa"/>
        </w:tblCellMar>
        <w:tblLook w:val="01E0" w:firstRow="1" w:lastRow="1" w:firstColumn="1" w:lastColumn="1" w:noHBand="0" w:noVBand="0"/>
      </w:tblPr>
      <w:tblGrid>
        <w:gridCol w:w="13050"/>
      </w:tblGrid>
      <w:tr w:rsidR="00C83C35" w:rsidRPr="005678F0" w14:paraId="000FE413" w14:textId="017DDED9" w:rsidTr="00C83C35">
        <w:trPr>
          <w:trHeight w:val="317"/>
        </w:trPr>
        <w:tc>
          <w:tcPr>
            <w:tcW w:w="13050" w:type="dxa"/>
            <w:shd w:val="clear" w:color="auto" w:fill="829BAD" w:themeFill="background2"/>
          </w:tcPr>
          <w:p w14:paraId="54DAD34B" w14:textId="77777777" w:rsidR="00C83C35" w:rsidRPr="005678F0" w:rsidRDefault="00C83C35" w:rsidP="008F6E08">
            <w:pPr>
              <w:pStyle w:val="TableParagraph"/>
              <w:spacing w:before="48" w:line="233" w:lineRule="exact"/>
              <w:ind w:left="90" w:right="181"/>
              <w:rPr>
                <w:rFonts w:asciiTheme="majorHAnsi" w:hAnsiTheme="majorHAnsi"/>
                <w:b/>
                <w:color w:val="FFFFFF" w:themeColor="accent6"/>
                <w:sz w:val="20"/>
              </w:rPr>
            </w:pPr>
            <w:bookmarkStart w:id="0" w:name="_Hlk121741115"/>
            <w:bookmarkStart w:id="1" w:name="_Hlk121741161"/>
            <w:bookmarkStart w:id="2" w:name="_Hlk146835069"/>
          </w:p>
        </w:tc>
      </w:tr>
      <w:bookmarkEnd w:id="2"/>
      <w:tr w:rsidR="00C83C35" w:rsidRPr="005678F0" w14:paraId="64A9BDDD" w14:textId="69E8C162" w:rsidTr="00C83C35">
        <w:trPr>
          <w:cantSplit/>
          <w:trHeight w:val="1845"/>
        </w:trPr>
        <w:tc>
          <w:tcPr>
            <w:tcW w:w="13050" w:type="dxa"/>
          </w:tcPr>
          <w:p w14:paraId="5C22C2E3" w14:textId="6754235A" w:rsidR="00C83C35" w:rsidRPr="005678F0" w:rsidRDefault="00C83C35" w:rsidP="008F6E08">
            <w:pPr>
              <w:pStyle w:val="TableParagraph"/>
              <w:spacing w:before="48" w:line="276" w:lineRule="auto"/>
              <w:ind w:left="60"/>
              <w:rPr>
                <w:rFonts w:asciiTheme="majorHAnsi" w:hAnsiTheme="majorHAnsi"/>
                <w:b/>
                <w:sz w:val="20"/>
                <w:szCs w:val="20"/>
              </w:rPr>
            </w:pPr>
            <w:r w:rsidRPr="005678F0">
              <w:rPr>
                <w:rFonts w:asciiTheme="majorHAnsi" w:hAnsiTheme="majorHAnsi"/>
                <w:b/>
                <w:sz w:val="20"/>
                <w:szCs w:val="20"/>
              </w:rPr>
              <w:t>Redefining Care for Prostate Cancer Patients:</w:t>
            </w:r>
          </w:p>
          <w:p w14:paraId="77C314B3" w14:textId="0ED95960" w:rsidR="00C83C35" w:rsidRPr="005678F0" w:rsidRDefault="00C83C35" w:rsidP="008F6E08">
            <w:pPr>
              <w:pStyle w:val="TableParagraph"/>
              <w:spacing w:before="48" w:line="276" w:lineRule="auto"/>
              <w:ind w:left="60"/>
              <w:rPr>
                <w:rFonts w:asciiTheme="majorHAnsi" w:hAnsiTheme="majorHAnsi"/>
                <w:b/>
                <w:sz w:val="20"/>
                <w:szCs w:val="20"/>
              </w:rPr>
            </w:pPr>
            <w:r w:rsidRPr="005678F0">
              <w:rPr>
                <w:rFonts w:asciiTheme="majorHAnsi" w:hAnsiTheme="majorHAnsi"/>
                <w:b/>
                <w:sz w:val="20"/>
                <w:szCs w:val="20"/>
              </w:rPr>
              <w:t xml:space="preserve">Clinical Perspectives on the Impact of </w:t>
            </w:r>
            <w:proofErr w:type="spellStart"/>
            <w:r w:rsidRPr="005678F0">
              <w:rPr>
                <w:rFonts w:asciiTheme="majorHAnsi" w:hAnsiTheme="majorHAnsi"/>
                <w:b/>
                <w:sz w:val="20"/>
                <w:szCs w:val="20"/>
              </w:rPr>
              <w:t>PROfound</w:t>
            </w:r>
            <w:proofErr w:type="spellEnd"/>
            <w:r w:rsidRPr="005678F0">
              <w:rPr>
                <w:rFonts w:asciiTheme="majorHAnsi" w:hAnsiTheme="majorHAnsi"/>
                <w:b/>
                <w:sz w:val="20"/>
                <w:szCs w:val="20"/>
              </w:rPr>
              <w:t xml:space="preserve"> and </w:t>
            </w:r>
            <w:proofErr w:type="spellStart"/>
            <w:r w:rsidRPr="005678F0">
              <w:rPr>
                <w:rFonts w:asciiTheme="majorHAnsi" w:hAnsiTheme="majorHAnsi"/>
                <w:b/>
                <w:sz w:val="20"/>
                <w:szCs w:val="20"/>
              </w:rPr>
              <w:t>PROpel</w:t>
            </w:r>
            <w:proofErr w:type="spellEnd"/>
            <w:r w:rsidRPr="005678F0">
              <w:rPr>
                <w:rFonts w:asciiTheme="majorHAnsi" w:hAnsiTheme="majorHAnsi"/>
                <w:b/>
                <w:sz w:val="20"/>
                <w:szCs w:val="20"/>
              </w:rPr>
              <w:t>.</w:t>
            </w:r>
          </w:p>
          <w:p w14:paraId="6ED1C869" w14:textId="7A4842F5" w:rsidR="00C83C35" w:rsidRPr="005678F0" w:rsidRDefault="00C83C35" w:rsidP="008F6E08">
            <w:pPr>
              <w:pStyle w:val="TableParagraph"/>
              <w:spacing w:before="48" w:line="276" w:lineRule="auto"/>
              <w:ind w:left="60"/>
              <w:rPr>
                <w:rFonts w:asciiTheme="majorHAnsi" w:hAnsiTheme="majorHAnsi"/>
                <w:b/>
                <w:sz w:val="20"/>
                <w:szCs w:val="20"/>
              </w:rPr>
            </w:pPr>
            <w:r w:rsidRPr="005678F0">
              <w:rPr>
                <w:rFonts w:asciiTheme="majorHAnsi" w:hAnsiTheme="majorHAnsi"/>
                <w:b/>
                <w:sz w:val="20"/>
                <w:szCs w:val="20"/>
              </w:rPr>
              <w:t xml:space="preserve">An Interview with Dr Eleni </w:t>
            </w:r>
            <w:proofErr w:type="spellStart"/>
            <w:r w:rsidRPr="005678F0">
              <w:rPr>
                <w:rFonts w:asciiTheme="majorHAnsi" w:hAnsiTheme="majorHAnsi"/>
                <w:b/>
                <w:sz w:val="20"/>
                <w:szCs w:val="20"/>
              </w:rPr>
              <w:t>Efstathiou</w:t>
            </w:r>
            <w:proofErr w:type="spellEnd"/>
          </w:p>
          <w:p w14:paraId="662554E6" w14:textId="7ED5BC60" w:rsidR="00C83C35" w:rsidRPr="005678F0" w:rsidRDefault="00C83C35" w:rsidP="008F6E08">
            <w:pPr>
              <w:pStyle w:val="TableParagraph"/>
              <w:spacing w:before="48" w:line="276" w:lineRule="auto"/>
              <w:ind w:left="60"/>
              <w:rPr>
                <w:rFonts w:asciiTheme="majorHAnsi" w:hAnsiTheme="majorHAnsi"/>
                <w:b/>
                <w:sz w:val="20"/>
                <w:szCs w:val="20"/>
              </w:rPr>
            </w:pPr>
            <w:r w:rsidRPr="005678F0">
              <w:rPr>
                <w:noProof/>
              </w:rPr>
              <w:drawing>
                <wp:inline distT="0" distB="0" distL="0" distR="0" wp14:anchorId="1BBEE9A3" wp14:editId="1A9E7D67">
                  <wp:extent cx="1972070" cy="1974850"/>
                  <wp:effectExtent l="0" t="0" r="9525" b="6350"/>
                  <wp:docPr id="5" name="Picture 5" descr="efstathiou-el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tathiou-elen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3536" cy="2026389"/>
                          </a:xfrm>
                          <a:prstGeom prst="rect">
                            <a:avLst/>
                          </a:prstGeom>
                          <a:noFill/>
                          <a:ln>
                            <a:noFill/>
                          </a:ln>
                        </pic:spPr>
                      </pic:pic>
                    </a:graphicData>
                  </a:graphic>
                </wp:inline>
              </w:drawing>
            </w:r>
            <w:r w:rsidRPr="005678F0">
              <w:rPr>
                <w:rFonts w:asciiTheme="majorHAnsi" w:hAnsiTheme="majorHAnsi"/>
                <w:b/>
                <w:noProof/>
                <w:color w:val="FFFFFF" w:themeColor="accent6"/>
                <w:sz w:val="20"/>
              </w:rPr>
              <w:t xml:space="preserve"> </w:t>
            </w:r>
          </w:p>
          <w:p w14:paraId="0437B47E" w14:textId="0A7CC4BC" w:rsidR="00C83C35" w:rsidRPr="005678F0" w:rsidRDefault="00C83C35" w:rsidP="008F6E08">
            <w:pPr>
              <w:pStyle w:val="BasicParagraph"/>
              <w:suppressAutoHyphens/>
              <w:spacing w:line="240" w:lineRule="auto"/>
              <w:ind w:left="90" w:right="181"/>
              <w:rPr>
                <w:rFonts w:asciiTheme="majorHAnsi" w:hAnsiTheme="majorHAnsi"/>
                <w:bCs/>
                <w:sz w:val="20"/>
                <w:szCs w:val="20"/>
              </w:rPr>
            </w:pPr>
            <w:r w:rsidRPr="005678F0">
              <w:rPr>
                <w:rFonts w:asciiTheme="majorHAnsi" w:hAnsiTheme="majorHAnsi"/>
                <w:bCs/>
                <w:sz w:val="20"/>
                <w:szCs w:val="20"/>
              </w:rPr>
              <w:t xml:space="preserve">Eleni </w:t>
            </w:r>
            <w:proofErr w:type="spellStart"/>
            <w:r w:rsidRPr="005678F0">
              <w:rPr>
                <w:rFonts w:asciiTheme="majorHAnsi" w:hAnsiTheme="majorHAnsi"/>
                <w:bCs/>
                <w:sz w:val="20"/>
                <w:szCs w:val="20"/>
              </w:rPr>
              <w:t>Efstathiou</w:t>
            </w:r>
            <w:proofErr w:type="spellEnd"/>
            <w:r w:rsidRPr="005678F0">
              <w:rPr>
                <w:rFonts w:asciiTheme="majorHAnsi" w:hAnsiTheme="majorHAnsi"/>
                <w:bCs/>
                <w:sz w:val="20"/>
                <w:szCs w:val="20"/>
              </w:rPr>
              <w:t>, MD, PhD, is a Professor of Cancer Medicine and the Section Chief of Genitourinary Medical Oncology at the Houston Methodist Cancer Center.</w:t>
            </w:r>
          </w:p>
          <w:p w14:paraId="1FDBFD7C" w14:textId="77777777" w:rsidR="00C83C35" w:rsidRPr="005678F0" w:rsidRDefault="00C83C35" w:rsidP="008F6E08">
            <w:pPr>
              <w:pStyle w:val="BasicParagraph"/>
              <w:suppressAutoHyphens/>
              <w:spacing w:line="240" w:lineRule="auto"/>
              <w:ind w:left="90" w:right="181"/>
              <w:rPr>
                <w:rFonts w:asciiTheme="majorHAnsi" w:hAnsiTheme="majorHAnsi"/>
                <w:bCs/>
                <w:sz w:val="20"/>
                <w:szCs w:val="20"/>
              </w:rPr>
            </w:pPr>
          </w:p>
          <w:p w14:paraId="0B02000B" w14:textId="09FB708E" w:rsidR="00C83C35" w:rsidRPr="005678F0" w:rsidRDefault="00C83C35" w:rsidP="008F6E08">
            <w:pPr>
              <w:pStyle w:val="BasicParagraph"/>
              <w:suppressAutoHyphens/>
              <w:spacing w:line="240" w:lineRule="auto"/>
              <w:ind w:left="90" w:right="181"/>
              <w:rPr>
                <w:rFonts w:ascii="Karla" w:hAnsi="Karla" w:cs="Karla"/>
                <w:b/>
                <w:bCs/>
                <w:color w:val="041726" w:themeColor="text1"/>
                <w:sz w:val="20"/>
                <w:szCs w:val="20"/>
              </w:rPr>
            </w:pPr>
            <w:r w:rsidRPr="005678F0">
              <w:rPr>
                <w:rFonts w:ascii="Karla" w:hAnsi="Karla" w:cs="Karla"/>
                <w:color w:val="041726" w:themeColor="text1"/>
                <w:sz w:val="20"/>
                <w:szCs w:val="20"/>
              </w:rPr>
              <w:t xml:space="preserve">Dr </w:t>
            </w:r>
            <w:proofErr w:type="spellStart"/>
            <w:r w:rsidRPr="005678F0">
              <w:rPr>
                <w:rFonts w:ascii="Karla" w:hAnsi="Karla" w:cs="Karla"/>
                <w:color w:val="041726" w:themeColor="text1"/>
                <w:sz w:val="20"/>
                <w:szCs w:val="20"/>
              </w:rPr>
              <w:t>Efstathiou</w:t>
            </w:r>
            <w:proofErr w:type="spellEnd"/>
            <w:r w:rsidRPr="005678F0">
              <w:rPr>
                <w:rFonts w:ascii="Karla" w:hAnsi="Karla" w:cs="Karla"/>
                <w:color w:val="041726" w:themeColor="text1"/>
                <w:sz w:val="20"/>
                <w:szCs w:val="20"/>
              </w:rPr>
              <w:t xml:space="preserve"> has been compensated by AstraZeneca for her participation</w:t>
            </w:r>
            <w:r w:rsidRPr="005678F0">
              <w:rPr>
                <w:rFonts w:ascii="Karla" w:hAnsi="Karla" w:cs="Karla"/>
                <w:b/>
                <w:bCs/>
                <w:color w:val="041726" w:themeColor="text1"/>
                <w:sz w:val="20"/>
                <w:szCs w:val="20"/>
              </w:rPr>
              <w:t>.</w:t>
            </w:r>
          </w:p>
          <w:p w14:paraId="5873E06A" w14:textId="77777777" w:rsidR="00C83C35" w:rsidRPr="005678F0" w:rsidRDefault="00C83C35" w:rsidP="008F6E08">
            <w:pPr>
              <w:pStyle w:val="BasicParagraph"/>
              <w:suppressAutoHyphens/>
              <w:spacing w:line="240" w:lineRule="auto"/>
              <w:ind w:left="90" w:right="181"/>
              <w:rPr>
                <w:rFonts w:ascii="Karla" w:hAnsi="Karla" w:cs="Karla"/>
                <w:color w:val="041726" w:themeColor="text1"/>
                <w:sz w:val="20"/>
                <w:szCs w:val="20"/>
              </w:rPr>
            </w:pPr>
          </w:p>
          <w:p w14:paraId="6F0F7EFF" w14:textId="77777777" w:rsidR="00C83C35" w:rsidRPr="005678F0" w:rsidRDefault="00C83C35" w:rsidP="00B110F4">
            <w:pPr>
              <w:pStyle w:val="BasicParagraph"/>
              <w:suppressAutoHyphens/>
              <w:spacing w:line="240" w:lineRule="auto"/>
              <w:ind w:left="90" w:right="181"/>
              <w:rPr>
                <w:rFonts w:ascii="Karla" w:hAnsi="Karla" w:cs="Karla"/>
                <w:color w:val="041726" w:themeColor="text1"/>
                <w:sz w:val="20"/>
                <w:szCs w:val="20"/>
              </w:rPr>
            </w:pPr>
            <w:r w:rsidRPr="005678F0">
              <w:rPr>
                <w:rFonts w:ascii="Karla" w:hAnsi="Karla" w:cs="Karla"/>
                <w:color w:val="041726" w:themeColor="text1"/>
                <w:sz w:val="20"/>
                <w:szCs w:val="20"/>
              </w:rPr>
              <w:t>Select Safety Information</w:t>
            </w:r>
          </w:p>
          <w:p w14:paraId="27652A2B" w14:textId="77777777" w:rsidR="00C83C35" w:rsidRPr="005678F0" w:rsidRDefault="00C83C35" w:rsidP="008F6E08">
            <w:pPr>
              <w:pStyle w:val="BasicParagraph"/>
              <w:suppressAutoHyphens/>
              <w:spacing w:line="240" w:lineRule="auto"/>
              <w:ind w:left="90" w:right="181"/>
              <w:rPr>
                <w:rFonts w:ascii="Karla" w:hAnsi="Karla" w:cs="Karla"/>
                <w:color w:val="041726" w:themeColor="text1"/>
                <w:sz w:val="20"/>
                <w:szCs w:val="20"/>
              </w:rPr>
            </w:pPr>
          </w:p>
          <w:p w14:paraId="3CF2EAA2" w14:textId="3531F43F" w:rsidR="00C83C35" w:rsidRPr="005678F0" w:rsidRDefault="00C83C35" w:rsidP="008F6E08">
            <w:pPr>
              <w:pStyle w:val="BasicParagraph"/>
              <w:suppressAutoHyphens/>
              <w:spacing w:line="240" w:lineRule="auto"/>
              <w:ind w:left="90" w:right="181"/>
              <w:rPr>
                <w:rFonts w:ascii="Karla" w:hAnsi="Karla" w:cs="Karla"/>
                <w:b/>
                <w:bCs/>
                <w:color w:val="041726" w:themeColor="text1"/>
                <w:sz w:val="20"/>
                <w:szCs w:val="20"/>
              </w:rPr>
            </w:pPr>
            <w:r w:rsidRPr="005678F0">
              <w:rPr>
                <w:rFonts w:ascii="Karla" w:hAnsi="Karla" w:cs="Karla"/>
                <w:color w:val="041726" w:themeColor="text1"/>
                <w:sz w:val="20"/>
                <w:szCs w:val="20"/>
              </w:rPr>
              <w:t>LYNPARZA is associated with serious and potentially fatal adverse events including myelodysplastic syndrome/acute myeloid leukemia (MDS/AML), pneumonitis, and venous thromboembolism (VTE). Monitor patients for signs and symptoms and discontinue LYNPARZA if MDS/AML or pneumonitis is confirmed. Monitor patients for signs and symptoms of VTE and treat as medically appropriate. LYNPARZA can cause fetal harm.</w:t>
            </w:r>
          </w:p>
          <w:p w14:paraId="58574DCC" w14:textId="77777777" w:rsidR="00C83C35" w:rsidRPr="005678F0" w:rsidRDefault="00C83C35" w:rsidP="008F6E08">
            <w:pPr>
              <w:pStyle w:val="BasicParagraph"/>
              <w:suppressAutoHyphens/>
              <w:spacing w:line="240" w:lineRule="auto"/>
              <w:ind w:left="90" w:right="181"/>
              <w:rPr>
                <w:rFonts w:ascii="Karla" w:hAnsi="Karla" w:cs="Karla"/>
                <w:color w:val="041726" w:themeColor="text1"/>
                <w:sz w:val="20"/>
                <w:szCs w:val="20"/>
              </w:rPr>
            </w:pPr>
          </w:p>
          <w:p w14:paraId="3BF675E1" w14:textId="6F9A2FB9" w:rsidR="00C83C35" w:rsidRPr="005678F0" w:rsidRDefault="00C83C35" w:rsidP="00737D9E">
            <w:pPr>
              <w:pStyle w:val="BasicParagraph"/>
              <w:suppressAutoHyphens/>
              <w:spacing w:line="240" w:lineRule="auto"/>
              <w:ind w:left="90" w:right="181"/>
              <w:rPr>
                <w:rFonts w:ascii="Karla" w:hAnsi="Karla" w:cs="Karla"/>
                <w:color w:val="041726" w:themeColor="text1"/>
                <w:sz w:val="20"/>
                <w:szCs w:val="20"/>
              </w:rPr>
            </w:pPr>
            <w:r w:rsidRPr="005678F0">
              <w:rPr>
                <w:rFonts w:ascii="Karla" w:hAnsi="Karla" w:cs="Karla"/>
                <w:color w:val="041726" w:themeColor="text1"/>
                <w:sz w:val="20"/>
                <w:szCs w:val="20"/>
              </w:rPr>
              <w:t xml:space="preserve">Please see full Important Safety Information at the end of the video. </w:t>
            </w:r>
          </w:p>
          <w:p w14:paraId="5915457D" w14:textId="77777777" w:rsidR="00C83C35" w:rsidRPr="005678F0" w:rsidRDefault="00C83C35" w:rsidP="00737D9E">
            <w:pPr>
              <w:pStyle w:val="BasicParagraph"/>
              <w:suppressAutoHyphens/>
              <w:spacing w:line="240" w:lineRule="auto"/>
              <w:ind w:left="90" w:right="181"/>
              <w:rPr>
                <w:rFonts w:ascii="Karla" w:hAnsi="Karla" w:cs="Karla"/>
                <w:color w:val="041726" w:themeColor="text1"/>
                <w:sz w:val="20"/>
                <w:szCs w:val="20"/>
              </w:rPr>
            </w:pPr>
          </w:p>
          <w:p w14:paraId="6B184720" w14:textId="6E38089F" w:rsidR="00C83C35" w:rsidRPr="005678F0" w:rsidRDefault="00C83C35" w:rsidP="008879F8">
            <w:pPr>
              <w:pStyle w:val="TableParagraph"/>
              <w:spacing w:before="48" w:line="276" w:lineRule="auto"/>
              <w:ind w:left="0"/>
              <w:rPr>
                <w:rFonts w:asciiTheme="majorHAnsi" w:hAnsiTheme="majorHAnsi"/>
                <w:b/>
                <w:noProof/>
                <w:color w:val="FFFFFF" w:themeColor="accent6"/>
                <w:sz w:val="20"/>
              </w:rPr>
            </w:pPr>
          </w:p>
          <w:p w14:paraId="47C1A65E" w14:textId="17DAD50D" w:rsidR="00C83C35" w:rsidRPr="00C83C35" w:rsidRDefault="00C83C35" w:rsidP="00C83C35">
            <w:pPr>
              <w:pStyle w:val="TableParagraph"/>
              <w:spacing w:before="48" w:line="276" w:lineRule="auto"/>
              <w:ind w:left="0"/>
              <w:rPr>
                <w:rFonts w:asciiTheme="majorHAnsi" w:hAnsiTheme="majorHAnsi"/>
                <w:b/>
                <w:noProof/>
                <w:color w:val="FFFFFF" w:themeColor="accent6"/>
                <w:sz w:val="20"/>
              </w:rPr>
            </w:pPr>
          </w:p>
          <w:p w14:paraId="214FA971" w14:textId="19178B47" w:rsidR="00C83C35" w:rsidRPr="005678F0" w:rsidRDefault="00C83C35" w:rsidP="00737D9E">
            <w:pPr>
              <w:pStyle w:val="BasicParagraph"/>
              <w:suppressAutoHyphens/>
              <w:spacing w:line="240" w:lineRule="auto"/>
              <w:ind w:left="90" w:right="181"/>
              <w:rPr>
                <w:rFonts w:ascii="Karla" w:hAnsi="Karla" w:cs="Karla"/>
                <w:color w:val="041726" w:themeColor="text1"/>
                <w:sz w:val="20"/>
                <w:szCs w:val="20"/>
              </w:rPr>
            </w:pPr>
          </w:p>
        </w:tc>
      </w:tr>
    </w:tbl>
    <w:p w14:paraId="1F20476F" w14:textId="77777777" w:rsidR="001240DC" w:rsidRPr="005678F0" w:rsidRDefault="001240DC">
      <w:r w:rsidRPr="005678F0">
        <w:br w:type="page"/>
      </w:r>
    </w:p>
    <w:tbl>
      <w:tblPr>
        <w:tblW w:w="13050" w:type="dxa"/>
        <w:tblInd w:w="175" w:type="dxa"/>
        <w:tblBorders>
          <w:top w:val="single" w:sz="4" w:space="0" w:color="829BAD" w:themeColor="background2"/>
          <w:left w:val="single" w:sz="4" w:space="0" w:color="829BAD" w:themeColor="background2"/>
          <w:bottom w:val="single" w:sz="4" w:space="0" w:color="829BAD" w:themeColor="background2"/>
          <w:right w:val="single" w:sz="4" w:space="0" w:color="829BAD" w:themeColor="background2"/>
          <w:insideH w:val="single" w:sz="4" w:space="0" w:color="829BAD" w:themeColor="background2"/>
          <w:insideV w:val="single" w:sz="4" w:space="0" w:color="829BAD" w:themeColor="background2"/>
        </w:tblBorders>
        <w:tblLayout w:type="fixed"/>
        <w:tblCellMar>
          <w:left w:w="0" w:type="dxa"/>
          <w:right w:w="0" w:type="dxa"/>
        </w:tblCellMar>
        <w:tblLook w:val="01E0" w:firstRow="1" w:lastRow="1" w:firstColumn="1" w:lastColumn="1" w:noHBand="0" w:noVBand="0"/>
      </w:tblPr>
      <w:tblGrid>
        <w:gridCol w:w="12870"/>
        <w:gridCol w:w="90"/>
        <w:gridCol w:w="90"/>
      </w:tblGrid>
      <w:tr w:rsidR="00C83C35" w:rsidRPr="005678F0" w14:paraId="7D2D925C" w14:textId="0824098E" w:rsidTr="0052503C">
        <w:trPr>
          <w:cantSplit/>
          <w:trHeight w:val="317"/>
        </w:trPr>
        <w:tc>
          <w:tcPr>
            <w:tcW w:w="13050" w:type="dxa"/>
            <w:gridSpan w:val="3"/>
            <w:shd w:val="clear" w:color="auto" w:fill="829BAD" w:themeFill="background2"/>
          </w:tcPr>
          <w:p w14:paraId="68B8D5E0" w14:textId="7F4BEF17" w:rsidR="00C83C35" w:rsidRPr="005678F0" w:rsidRDefault="00C83C35" w:rsidP="008F6E08">
            <w:pPr>
              <w:pStyle w:val="TableParagraph"/>
              <w:spacing w:before="48" w:line="233" w:lineRule="exact"/>
              <w:ind w:left="60"/>
              <w:rPr>
                <w:rFonts w:asciiTheme="majorHAnsi" w:hAnsiTheme="majorHAnsi"/>
                <w:b/>
                <w:sz w:val="20"/>
              </w:rPr>
            </w:pPr>
            <w:r w:rsidRPr="005678F0">
              <w:rPr>
                <w:rFonts w:asciiTheme="majorHAnsi" w:hAnsiTheme="majorHAnsi"/>
                <w:b/>
                <w:color w:val="FFFFFF" w:themeColor="accent6"/>
                <w:sz w:val="20"/>
              </w:rPr>
              <w:lastRenderedPageBreak/>
              <w:t>Screen 1</w:t>
            </w:r>
          </w:p>
        </w:tc>
      </w:tr>
      <w:tr w:rsidR="00C83C35" w:rsidRPr="005678F0" w14:paraId="54ECCD16" w14:textId="35D34BEB" w:rsidTr="0052503C">
        <w:trPr>
          <w:cantSplit/>
          <w:trHeight w:val="2007"/>
        </w:trPr>
        <w:tc>
          <w:tcPr>
            <w:tcW w:w="13050" w:type="dxa"/>
            <w:gridSpan w:val="3"/>
            <w:shd w:val="clear" w:color="auto" w:fill="auto"/>
          </w:tcPr>
          <w:p w14:paraId="265A1438" w14:textId="77777777" w:rsidR="00C83C35" w:rsidRDefault="00C83C35" w:rsidP="00F40D06">
            <w:pPr>
              <w:pStyle w:val="BasicParagraph"/>
              <w:suppressAutoHyphens/>
              <w:spacing w:line="240" w:lineRule="auto"/>
              <w:ind w:left="90" w:right="181"/>
              <w:rPr>
                <w:rFonts w:ascii="Karla" w:hAnsi="Karla" w:cs="Karla"/>
                <w:color w:val="041726" w:themeColor="text1"/>
                <w:sz w:val="20"/>
                <w:szCs w:val="20"/>
              </w:rPr>
            </w:pPr>
            <w:proofErr w:type="gramStart"/>
            <w:r>
              <w:rPr>
                <w:rFonts w:ascii="Karla" w:hAnsi="Karla" w:cs="Karla"/>
                <w:color w:val="041726" w:themeColor="text1"/>
                <w:sz w:val="20"/>
                <w:szCs w:val="20"/>
              </w:rPr>
              <w:t>Hello</w:t>
            </w:r>
            <w:proofErr w:type="gramEnd"/>
            <w:r>
              <w:rPr>
                <w:rFonts w:ascii="Karla" w:hAnsi="Karla" w:cs="Karla"/>
                <w:color w:val="041726" w:themeColor="text1"/>
                <w:sz w:val="20"/>
                <w:szCs w:val="20"/>
              </w:rPr>
              <w:t xml:space="preserve"> I am Eleni </w:t>
            </w:r>
            <w:proofErr w:type="spellStart"/>
            <w:r>
              <w:rPr>
                <w:rFonts w:ascii="Karla" w:hAnsi="Karla" w:cs="Karla"/>
                <w:color w:val="041726" w:themeColor="text1"/>
                <w:sz w:val="20"/>
                <w:szCs w:val="20"/>
              </w:rPr>
              <w:t>Efstathiou</w:t>
            </w:r>
            <w:proofErr w:type="spellEnd"/>
            <w:r>
              <w:rPr>
                <w:rFonts w:ascii="Karla" w:hAnsi="Karla" w:cs="Karla"/>
                <w:color w:val="041726" w:themeColor="text1"/>
                <w:sz w:val="20"/>
                <w:szCs w:val="20"/>
              </w:rPr>
              <w:t xml:space="preserve"> and I am a GU medical oncologist.</w:t>
            </w:r>
          </w:p>
          <w:p w14:paraId="06B1EA12" w14:textId="59AEEA29" w:rsidR="00C83C35" w:rsidRPr="005678F0" w:rsidRDefault="00C83C35" w:rsidP="00F40D06">
            <w:pPr>
              <w:pStyle w:val="BasicParagraph"/>
              <w:suppressAutoHyphens/>
              <w:spacing w:line="240" w:lineRule="auto"/>
              <w:ind w:left="90" w:right="181"/>
              <w:rPr>
                <w:rFonts w:ascii="Karla" w:hAnsi="Karla" w:cs="Karla"/>
                <w:color w:val="041726" w:themeColor="text1"/>
                <w:sz w:val="20"/>
                <w:szCs w:val="20"/>
              </w:rPr>
            </w:pPr>
            <w:r w:rsidRPr="005678F0">
              <w:rPr>
                <w:rFonts w:ascii="Karla" w:hAnsi="Karla" w:cs="Karla"/>
                <w:color w:val="041726" w:themeColor="text1"/>
                <w:sz w:val="20"/>
                <w:szCs w:val="20"/>
              </w:rPr>
              <w:t>Over the past 20 years, our comprehension of prostate cancer has advanced significantly, yet we acknowledge that we are still exploring its depths. A critical area where our understanding falls short is in identifying effective biomarkers. The significance of biomarkers lies in their ability to accurately predict prognosis and their connection to therapies that are designed to enhance patient outcomes.</w:t>
            </w:r>
            <w:r w:rsidRPr="005678F0">
              <w:rPr>
                <w:rFonts w:ascii="Karla" w:hAnsi="Karla" w:cs="Karla"/>
                <w:color w:val="041726" w:themeColor="text1"/>
                <w:sz w:val="20"/>
                <w:szCs w:val="20"/>
                <w:vertAlign w:val="superscript"/>
              </w:rPr>
              <w:t xml:space="preserve">1 </w:t>
            </w:r>
          </w:p>
          <w:p w14:paraId="58D19376" w14:textId="77777777" w:rsidR="00C83C35" w:rsidRPr="005678F0" w:rsidRDefault="00C83C35" w:rsidP="00F244A5">
            <w:pPr>
              <w:pStyle w:val="BasicParagraph"/>
              <w:suppressAutoHyphens/>
              <w:spacing w:line="240" w:lineRule="auto"/>
              <w:ind w:left="90" w:right="181"/>
              <w:rPr>
                <w:rFonts w:ascii="Karla" w:hAnsi="Karla" w:cs="Karla"/>
                <w:color w:val="041726" w:themeColor="text1"/>
                <w:sz w:val="20"/>
                <w:szCs w:val="20"/>
              </w:rPr>
            </w:pPr>
          </w:p>
          <w:p w14:paraId="1D6D9724" w14:textId="77777777" w:rsidR="00C83C35" w:rsidRDefault="00C83C35" w:rsidP="00610730">
            <w:pPr>
              <w:pStyle w:val="BasicParagraph"/>
              <w:suppressAutoHyphens/>
              <w:spacing w:line="240" w:lineRule="auto"/>
              <w:ind w:left="90" w:right="181"/>
              <w:rPr>
                <w:rFonts w:ascii="Karla" w:hAnsi="Karla" w:cs="Karla"/>
                <w:color w:val="auto"/>
                <w:sz w:val="20"/>
                <w:szCs w:val="20"/>
                <w:vertAlign w:val="superscript"/>
              </w:rPr>
            </w:pPr>
            <w:r w:rsidRPr="005678F0">
              <w:rPr>
                <w:rFonts w:ascii="Karla" w:hAnsi="Karla" w:cs="Karla"/>
                <w:color w:val="041726" w:themeColor="text1"/>
                <w:sz w:val="20"/>
                <w:szCs w:val="20"/>
              </w:rPr>
              <w:t>For some time, we’ve understood from other tumor types that patients with DNA damage response mutational events, whether germline or somatic, typically have poorer outcomes. We had a lot of retrospective data based on the available agents and we knew from other disease spaces that you could consider these events as not only drivers of carcinogenesis, but also of disease progression. However, we did not know this for prostate cancer.</w:t>
            </w:r>
            <w:r w:rsidRPr="005678F0">
              <w:rPr>
                <w:rFonts w:ascii="Karla" w:hAnsi="Karla" w:cs="Karla"/>
                <w:color w:val="auto"/>
                <w:sz w:val="20"/>
                <w:szCs w:val="20"/>
                <w:vertAlign w:val="superscript"/>
              </w:rPr>
              <w:t>2</w:t>
            </w:r>
          </w:p>
          <w:p w14:paraId="7307EE0C" w14:textId="6FCF145B" w:rsidR="00C83C35" w:rsidRPr="00C83C35" w:rsidRDefault="00C83C35" w:rsidP="00610730">
            <w:pPr>
              <w:pStyle w:val="BasicParagraph"/>
              <w:suppressAutoHyphens/>
              <w:spacing w:line="240" w:lineRule="auto"/>
              <w:ind w:left="90" w:right="181"/>
              <w:rPr>
                <w:rFonts w:ascii="Karla" w:hAnsi="Karla" w:cs="Karla"/>
                <w:color w:val="041726" w:themeColor="text1"/>
                <w:sz w:val="10"/>
                <w:szCs w:val="10"/>
              </w:rPr>
            </w:pPr>
          </w:p>
        </w:tc>
      </w:tr>
      <w:tr w:rsidR="00C83C35" w:rsidRPr="005678F0" w14:paraId="1ED33E4C" w14:textId="77777777" w:rsidTr="0052503C">
        <w:trPr>
          <w:cantSplit/>
          <w:trHeight w:val="317"/>
        </w:trPr>
        <w:tc>
          <w:tcPr>
            <w:tcW w:w="13050" w:type="dxa"/>
            <w:gridSpan w:val="3"/>
            <w:shd w:val="clear" w:color="auto" w:fill="829BAD" w:themeFill="background2"/>
            <w:vAlign w:val="center"/>
          </w:tcPr>
          <w:p w14:paraId="6DCA9F4C" w14:textId="18B3CB42" w:rsidR="00C83C35" w:rsidRPr="005678F0" w:rsidRDefault="00F40D06" w:rsidP="001D2E4C">
            <w:pPr>
              <w:pStyle w:val="TableParagraph"/>
              <w:spacing w:before="48" w:line="233" w:lineRule="exact"/>
              <w:ind w:left="60"/>
              <w:rPr>
                <w:rFonts w:asciiTheme="majorHAnsi" w:hAnsiTheme="majorHAnsi"/>
                <w:b/>
                <w:color w:val="FFFFFF" w:themeColor="accent6"/>
                <w:sz w:val="20"/>
              </w:rPr>
            </w:pPr>
            <w:r w:rsidRPr="005678F0">
              <w:br w:type="page"/>
            </w:r>
            <w:r w:rsidR="00C83C35" w:rsidRPr="005678F0">
              <w:rPr>
                <w:rFonts w:asciiTheme="majorHAnsi" w:hAnsiTheme="majorHAnsi"/>
                <w:b/>
                <w:color w:val="FFFFFF" w:themeColor="accent6"/>
                <w:sz w:val="20"/>
              </w:rPr>
              <w:t>Screen 2</w:t>
            </w:r>
          </w:p>
        </w:tc>
      </w:tr>
      <w:tr w:rsidR="00C83C35" w:rsidRPr="005678F0" w14:paraId="251F8F99" w14:textId="77777777" w:rsidTr="0052503C">
        <w:trPr>
          <w:cantSplit/>
          <w:trHeight w:val="317"/>
        </w:trPr>
        <w:tc>
          <w:tcPr>
            <w:tcW w:w="13050" w:type="dxa"/>
            <w:gridSpan w:val="3"/>
            <w:shd w:val="clear" w:color="auto" w:fill="auto"/>
            <w:vAlign w:val="center"/>
          </w:tcPr>
          <w:p w14:paraId="271D268C" w14:textId="067F0AB5" w:rsidR="00C83C35" w:rsidRPr="005678F0" w:rsidRDefault="00C83C35" w:rsidP="00955B51">
            <w:pPr>
              <w:pStyle w:val="TableParagraph"/>
              <w:ind w:left="60"/>
              <w:rPr>
                <w:rFonts w:asciiTheme="majorHAnsi" w:hAnsiTheme="majorHAnsi"/>
                <w:bCs/>
                <w:sz w:val="20"/>
              </w:rPr>
            </w:pPr>
            <w:r w:rsidRPr="005678F0">
              <w:rPr>
                <w:rFonts w:asciiTheme="majorHAnsi" w:hAnsiTheme="majorHAnsi"/>
                <w:bCs/>
                <w:sz w:val="20"/>
              </w:rPr>
              <w:t xml:space="preserve">Looking back, germline </w:t>
            </w:r>
            <w:r w:rsidRPr="005678F0">
              <w:rPr>
                <w:rFonts w:asciiTheme="majorHAnsi" w:hAnsiTheme="majorHAnsi"/>
                <w:bCs/>
                <w:i/>
                <w:iCs/>
                <w:sz w:val="20"/>
              </w:rPr>
              <w:t>BRCA</w:t>
            </w:r>
            <w:r w:rsidRPr="005678F0">
              <w:rPr>
                <w:rFonts w:asciiTheme="majorHAnsi" w:hAnsiTheme="majorHAnsi"/>
                <w:bCs/>
                <w:sz w:val="20"/>
              </w:rPr>
              <w:t xml:space="preserve"> mutations were first reported in prostate cancer in 1997 by </w:t>
            </w:r>
            <w:proofErr w:type="gramStart"/>
            <w:r w:rsidRPr="005678F0">
              <w:rPr>
                <w:rFonts w:asciiTheme="majorHAnsi" w:hAnsiTheme="majorHAnsi"/>
                <w:bCs/>
                <w:sz w:val="20"/>
              </w:rPr>
              <w:t>doctor</w:t>
            </w:r>
            <w:proofErr w:type="gramEnd"/>
            <w:r w:rsidRPr="005678F0">
              <w:rPr>
                <w:rFonts w:asciiTheme="majorHAnsi" w:hAnsiTheme="majorHAnsi"/>
                <w:bCs/>
                <w:sz w:val="20"/>
              </w:rPr>
              <w:t xml:space="preserve"> Rosalind Eeles.</w:t>
            </w:r>
            <w:r w:rsidRPr="005678F0">
              <w:rPr>
                <w:rFonts w:asciiTheme="majorHAnsi" w:hAnsiTheme="majorHAnsi"/>
                <w:bCs/>
                <w:sz w:val="20"/>
                <w:vertAlign w:val="superscript"/>
              </w:rPr>
              <w:t>3</w:t>
            </w:r>
            <w:r w:rsidRPr="005678F0">
              <w:rPr>
                <w:rFonts w:asciiTheme="majorHAnsi" w:hAnsiTheme="majorHAnsi"/>
                <w:bCs/>
                <w:sz w:val="20"/>
              </w:rPr>
              <w:t xml:space="preserve"> 12 years later, with the publication of the phase 1 study of LYNPARZA in 2009 in the New England Journal of Medicine, evidence began to emerge linking these mutations to cancer progression in prostate cancer.</w:t>
            </w:r>
            <w:r w:rsidRPr="005678F0">
              <w:rPr>
                <w:rFonts w:asciiTheme="majorHAnsi" w:hAnsiTheme="majorHAnsi"/>
                <w:bCs/>
                <w:sz w:val="20"/>
                <w:vertAlign w:val="superscript"/>
              </w:rPr>
              <w:t>2</w:t>
            </w:r>
            <w:r w:rsidRPr="005678F0">
              <w:rPr>
                <w:rFonts w:asciiTheme="majorHAnsi" w:hAnsiTheme="majorHAnsi"/>
                <w:bCs/>
                <w:sz w:val="20"/>
              </w:rPr>
              <w:t xml:space="preserve"> </w:t>
            </w:r>
          </w:p>
          <w:p w14:paraId="0DB2C30B" w14:textId="77777777" w:rsidR="00C83C35" w:rsidRPr="005678F0" w:rsidRDefault="00C83C35" w:rsidP="00955B51">
            <w:pPr>
              <w:pStyle w:val="TableParagraph"/>
              <w:ind w:left="60"/>
              <w:rPr>
                <w:rFonts w:asciiTheme="majorHAnsi" w:hAnsiTheme="majorHAnsi"/>
                <w:bCs/>
                <w:sz w:val="20"/>
              </w:rPr>
            </w:pPr>
          </w:p>
          <w:p w14:paraId="7B5595AE" w14:textId="5068A497" w:rsidR="00C83C35" w:rsidRPr="005678F0" w:rsidRDefault="00C83C35" w:rsidP="00955B51">
            <w:pPr>
              <w:pStyle w:val="TableParagraph"/>
              <w:ind w:left="60"/>
              <w:rPr>
                <w:rFonts w:asciiTheme="majorHAnsi" w:hAnsiTheme="majorHAnsi"/>
                <w:bCs/>
                <w:sz w:val="20"/>
                <w:vertAlign w:val="superscript"/>
              </w:rPr>
            </w:pPr>
            <w:r w:rsidRPr="005678F0">
              <w:rPr>
                <w:rFonts w:asciiTheme="majorHAnsi" w:hAnsiTheme="majorHAnsi"/>
                <w:bCs/>
                <w:sz w:val="20"/>
              </w:rPr>
              <w:t>The 2020 approval of LYNPARZA for the treatment of adult patients with deleterious or suspected deleterious germline or somatic DDR gene-mutated metastatic castration resistant prostate cancer who have progressed following prior treatment with enzalutamide or abiraterone contributed to the recognition of the significance of these DDR pathway mutations in patients with prostate cancer.</w:t>
            </w:r>
            <w:r w:rsidRPr="005678F0">
              <w:rPr>
                <w:rFonts w:asciiTheme="majorHAnsi" w:hAnsiTheme="majorHAnsi"/>
                <w:bCs/>
                <w:sz w:val="20"/>
                <w:vertAlign w:val="superscript"/>
              </w:rPr>
              <w:t>4,</w:t>
            </w:r>
            <w:proofErr w:type="gramStart"/>
            <w:r w:rsidRPr="005678F0">
              <w:rPr>
                <w:rFonts w:asciiTheme="majorHAnsi" w:hAnsiTheme="majorHAnsi"/>
                <w:bCs/>
                <w:sz w:val="20"/>
                <w:vertAlign w:val="superscript"/>
              </w:rPr>
              <w:t>5</w:t>
            </w:r>
            <w:proofErr w:type="gramEnd"/>
          </w:p>
          <w:p w14:paraId="07619F08" w14:textId="77777777" w:rsidR="00C83C35" w:rsidRPr="005678F0" w:rsidRDefault="00C83C35" w:rsidP="00955B51">
            <w:pPr>
              <w:pStyle w:val="TableParagraph"/>
              <w:ind w:left="60"/>
              <w:rPr>
                <w:rFonts w:asciiTheme="majorHAnsi" w:hAnsiTheme="majorHAnsi"/>
                <w:bCs/>
                <w:sz w:val="20"/>
              </w:rPr>
            </w:pPr>
          </w:p>
          <w:p w14:paraId="2AA15330" w14:textId="77777777" w:rsidR="00C83C35" w:rsidRDefault="00C83C35" w:rsidP="00F40D06">
            <w:pPr>
              <w:pStyle w:val="TableParagraph"/>
              <w:ind w:left="60"/>
              <w:rPr>
                <w:rFonts w:asciiTheme="majorHAnsi" w:hAnsiTheme="majorHAnsi"/>
                <w:bCs/>
                <w:sz w:val="20"/>
                <w:vertAlign w:val="superscript"/>
              </w:rPr>
            </w:pPr>
            <w:r w:rsidRPr="005678F0">
              <w:rPr>
                <w:rFonts w:asciiTheme="majorHAnsi" w:hAnsiTheme="majorHAnsi"/>
                <w:bCs/>
                <w:sz w:val="20"/>
              </w:rPr>
              <w:t>It's noteworthy that only in recent years, publications started shedding light on the significance of somatic events in prostate cancer, which are now recognized to be equally crucial as germline events. Allelic loss, a common occurrence in prostate cancer, underscores this point. Interestingly, the impact of these mutations is not as extensively understood as in breast and ovarian cancers.</w:t>
            </w:r>
            <w:r w:rsidRPr="005678F0">
              <w:rPr>
                <w:rFonts w:asciiTheme="majorHAnsi" w:hAnsiTheme="majorHAnsi"/>
                <w:bCs/>
                <w:sz w:val="20"/>
                <w:vertAlign w:val="superscript"/>
              </w:rPr>
              <w:t>6</w:t>
            </w:r>
          </w:p>
          <w:p w14:paraId="27387D1B" w14:textId="1CE48709" w:rsidR="00C83C35" w:rsidRPr="00C83C35" w:rsidRDefault="00C83C35" w:rsidP="00F40D06">
            <w:pPr>
              <w:pStyle w:val="TableParagraph"/>
              <w:ind w:left="60"/>
              <w:rPr>
                <w:rFonts w:asciiTheme="majorHAnsi" w:hAnsiTheme="majorHAnsi"/>
                <w:bCs/>
                <w:color w:val="FF0000"/>
                <w:sz w:val="10"/>
                <w:szCs w:val="12"/>
                <w:vertAlign w:val="superscript"/>
              </w:rPr>
            </w:pPr>
          </w:p>
        </w:tc>
      </w:tr>
      <w:tr w:rsidR="00C83C35" w:rsidRPr="005678F0" w14:paraId="06004600" w14:textId="541C7BE0" w:rsidTr="0052503C">
        <w:trPr>
          <w:gridAfter w:val="1"/>
          <w:wAfter w:w="90" w:type="dxa"/>
          <w:cantSplit/>
          <w:trHeight w:val="317"/>
        </w:trPr>
        <w:tc>
          <w:tcPr>
            <w:tcW w:w="12960" w:type="dxa"/>
            <w:gridSpan w:val="2"/>
            <w:shd w:val="clear" w:color="auto" w:fill="829BAD" w:themeFill="background2"/>
            <w:vAlign w:val="center"/>
          </w:tcPr>
          <w:p w14:paraId="08E9A305" w14:textId="5FF0798A" w:rsidR="00C83C35" w:rsidRPr="005678F0" w:rsidRDefault="00C83C35" w:rsidP="001D2E4C">
            <w:pPr>
              <w:pStyle w:val="TableParagraph"/>
              <w:spacing w:before="48" w:line="233" w:lineRule="exact"/>
              <w:ind w:left="60"/>
              <w:rPr>
                <w:rFonts w:asciiTheme="majorHAnsi" w:hAnsiTheme="majorHAnsi"/>
                <w:b/>
                <w:color w:val="FFFFFF" w:themeColor="accent6"/>
                <w:sz w:val="20"/>
              </w:rPr>
            </w:pPr>
            <w:r w:rsidRPr="005678F0">
              <w:rPr>
                <w:rFonts w:asciiTheme="majorHAnsi" w:hAnsiTheme="majorHAnsi"/>
                <w:b/>
                <w:color w:val="FFFFFF" w:themeColor="accent6"/>
                <w:sz w:val="20"/>
              </w:rPr>
              <w:t>Screen 3</w:t>
            </w:r>
          </w:p>
        </w:tc>
      </w:tr>
      <w:tr w:rsidR="00C83C35" w:rsidRPr="005678F0" w14:paraId="1C2961C9" w14:textId="35C8B89A" w:rsidTr="0052503C">
        <w:trPr>
          <w:gridAfter w:val="1"/>
          <w:wAfter w:w="90" w:type="dxa"/>
          <w:cantSplit/>
          <w:trHeight w:val="1296"/>
        </w:trPr>
        <w:tc>
          <w:tcPr>
            <w:tcW w:w="12960" w:type="dxa"/>
            <w:gridSpan w:val="2"/>
            <w:shd w:val="clear" w:color="auto" w:fill="auto"/>
          </w:tcPr>
          <w:p w14:paraId="538A3495" w14:textId="4716F1C4" w:rsidR="00C83C35" w:rsidRPr="0052503C" w:rsidRDefault="00C83C35" w:rsidP="0052503C">
            <w:pPr>
              <w:pStyle w:val="TableParagraph"/>
              <w:spacing w:before="48"/>
              <w:ind w:left="60"/>
              <w:rPr>
                <w:rFonts w:ascii="Karla" w:eastAsiaTheme="minorHAnsi" w:hAnsi="Karla" w:cs="Karla"/>
                <w:color w:val="FF0000"/>
                <w:sz w:val="20"/>
                <w:szCs w:val="20"/>
                <w:vertAlign w:val="superscript"/>
              </w:rPr>
            </w:pPr>
            <w:r w:rsidRPr="005678F0">
              <w:rPr>
                <w:rFonts w:ascii="Karla" w:eastAsiaTheme="minorHAnsi" w:hAnsi="Karla" w:cs="Karla"/>
                <w:color w:val="041726" w:themeColor="text1"/>
                <w:sz w:val="20"/>
                <w:szCs w:val="20"/>
              </w:rPr>
              <w:t xml:space="preserve">One of the biggest challenges in treating prostate cancer was determining whether DDR mutations drive cancer progression. When the </w:t>
            </w:r>
            <w:proofErr w:type="spellStart"/>
            <w:r w:rsidRPr="005678F0">
              <w:rPr>
                <w:rFonts w:ascii="Karla" w:eastAsiaTheme="minorHAnsi" w:hAnsi="Karla" w:cs="Karla"/>
                <w:color w:val="041726" w:themeColor="text1"/>
                <w:sz w:val="20"/>
                <w:szCs w:val="20"/>
              </w:rPr>
              <w:t>PROfound</w:t>
            </w:r>
            <w:proofErr w:type="spellEnd"/>
            <w:r w:rsidRPr="005678F0">
              <w:rPr>
                <w:rFonts w:ascii="Karla" w:eastAsiaTheme="minorHAnsi" w:hAnsi="Karla" w:cs="Karla"/>
                <w:color w:val="041726" w:themeColor="text1"/>
                <w:sz w:val="20"/>
                <w:szCs w:val="20"/>
              </w:rPr>
              <w:t xml:space="preserve"> study results were published, they demonstrated this connection. This trial wasn't just about introducing LYNPARZA for prostate cancer; it contributed to the growing body of evidence that DDR mutations drive progression in prostate </w:t>
            </w:r>
            <w:proofErr w:type="gramStart"/>
            <w:r w:rsidRPr="005678F0">
              <w:rPr>
                <w:rFonts w:ascii="Karla" w:eastAsiaTheme="minorHAnsi" w:hAnsi="Karla" w:cs="Karla"/>
                <w:color w:val="041726" w:themeColor="text1"/>
                <w:sz w:val="20"/>
                <w:szCs w:val="20"/>
              </w:rPr>
              <w:t>cancer, and</w:t>
            </w:r>
            <w:proofErr w:type="gramEnd"/>
            <w:r w:rsidRPr="005678F0">
              <w:rPr>
                <w:rFonts w:ascii="Karla" w:eastAsiaTheme="minorHAnsi" w:hAnsi="Karla" w:cs="Karla"/>
                <w:color w:val="041726" w:themeColor="text1"/>
                <w:sz w:val="20"/>
                <w:szCs w:val="20"/>
              </w:rPr>
              <w:t xml:space="preserve"> demonstrated that LYNPARZA increased progression-free survival compared to investigator’s choice of enzalutamide or abiraterone. </w:t>
            </w:r>
            <w:proofErr w:type="spellStart"/>
            <w:r w:rsidRPr="005678F0">
              <w:rPr>
                <w:rFonts w:ascii="Karla" w:eastAsiaTheme="minorHAnsi" w:hAnsi="Karla" w:cs="Karla"/>
                <w:color w:val="041726" w:themeColor="text1"/>
                <w:sz w:val="20"/>
                <w:szCs w:val="20"/>
              </w:rPr>
              <w:t>PROfound</w:t>
            </w:r>
            <w:proofErr w:type="spellEnd"/>
            <w:r w:rsidRPr="005678F0">
              <w:rPr>
                <w:rFonts w:ascii="Karla" w:eastAsiaTheme="minorHAnsi" w:hAnsi="Karla" w:cs="Karla"/>
                <w:color w:val="041726" w:themeColor="text1"/>
                <w:sz w:val="20"/>
                <w:szCs w:val="20"/>
              </w:rPr>
              <w:t xml:space="preserve"> was pioneering in placing biomarkers as predictive indicators in prostate cancer research.</w:t>
            </w:r>
            <w:r w:rsidRPr="005678F0">
              <w:rPr>
                <w:rFonts w:ascii="Karla" w:eastAsiaTheme="minorHAnsi" w:hAnsi="Karla" w:cs="Karla"/>
                <w:color w:val="041726" w:themeColor="text1"/>
                <w:sz w:val="20"/>
                <w:szCs w:val="20"/>
                <w:vertAlign w:val="superscript"/>
              </w:rPr>
              <w:t>7</w:t>
            </w:r>
          </w:p>
        </w:tc>
      </w:tr>
      <w:tr w:rsidR="00C83C35" w:rsidRPr="005678F0" w14:paraId="69E01F1C" w14:textId="7BC8A4DD" w:rsidTr="0052503C">
        <w:trPr>
          <w:gridAfter w:val="1"/>
          <w:wAfter w:w="90" w:type="dxa"/>
          <w:cantSplit/>
          <w:trHeight w:val="317"/>
        </w:trPr>
        <w:tc>
          <w:tcPr>
            <w:tcW w:w="12960" w:type="dxa"/>
            <w:gridSpan w:val="2"/>
            <w:shd w:val="clear" w:color="auto" w:fill="829BAD" w:themeFill="background2"/>
            <w:vAlign w:val="center"/>
          </w:tcPr>
          <w:p w14:paraId="3D9741B5" w14:textId="4C843931" w:rsidR="00C83C35" w:rsidRPr="005678F0" w:rsidRDefault="001240DC" w:rsidP="001D2E4C">
            <w:pPr>
              <w:pStyle w:val="TableParagraph"/>
              <w:spacing w:before="48" w:line="276" w:lineRule="auto"/>
              <w:ind w:left="60"/>
              <w:rPr>
                <w:rFonts w:asciiTheme="majorHAnsi" w:hAnsiTheme="majorHAnsi"/>
                <w:b/>
                <w:noProof/>
                <w:color w:val="FFFFFF" w:themeColor="accent6"/>
                <w:sz w:val="20"/>
              </w:rPr>
            </w:pPr>
            <w:r w:rsidRPr="005678F0">
              <w:br w:type="page"/>
            </w:r>
            <w:r w:rsidR="00C83C35" w:rsidRPr="005678F0">
              <w:rPr>
                <w:rFonts w:asciiTheme="majorHAnsi" w:hAnsiTheme="majorHAnsi"/>
                <w:b/>
                <w:color w:val="FFFFFF" w:themeColor="accent6"/>
                <w:sz w:val="20"/>
              </w:rPr>
              <w:t>Screen 4</w:t>
            </w:r>
          </w:p>
        </w:tc>
      </w:tr>
      <w:tr w:rsidR="00C83C35" w:rsidRPr="005678F0" w14:paraId="48072EED" w14:textId="0227A932" w:rsidTr="0052503C">
        <w:trPr>
          <w:gridAfter w:val="1"/>
          <w:wAfter w:w="90" w:type="dxa"/>
          <w:cantSplit/>
          <w:trHeight w:val="2016"/>
        </w:trPr>
        <w:tc>
          <w:tcPr>
            <w:tcW w:w="12960" w:type="dxa"/>
            <w:gridSpan w:val="2"/>
            <w:shd w:val="clear" w:color="auto" w:fill="auto"/>
          </w:tcPr>
          <w:p w14:paraId="37B34269" w14:textId="2104FD9B" w:rsidR="00C83C35" w:rsidRPr="005678F0" w:rsidRDefault="00C83C35" w:rsidP="00DA6BA9">
            <w:pPr>
              <w:spacing w:line="240" w:lineRule="auto"/>
              <w:ind w:left="83"/>
              <w:rPr>
                <w:rFonts w:ascii="Karla" w:hAnsi="Karla" w:cs="Karla"/>
                <w:color w:val="041726" w:themeColor="text1"/>
                <w:sz w:val="20"/>
                <w:szCs w:val="20"/>
              </w:rPr>
            </w:pPr>
            <w:r w:rsidRPr="005678F0">
              <w:rPr>
                <w:rFonts w:ascii="Karla" w:hAnsi="Karla" w:cs="Karla"/>
                <w:color w:val="041726" w:themeColor="text1"/>
                <w:sz w:val="20"/>
                <w:szCs w:val="20"/>
              </w:rPr>
              <w:t xml:space="preserve">In </w:t>
            </w:r>
            <w:proofErr w:type="spellStart"/>
            <w:r w:rsidRPr="005678F0">
              <w:rPr>
                <w:rFonts w:ascii="Karla" w:hAnsi="Karla" w:cs="Karla"/>
                <w:color w:val="041726" w:themeColor="text1"/>
                <w:sz w:val="20"/>
                <w:szCs w:val="20"/>
              </w:rPr>
              <w:t>PROpel</w:t>
            </w:r>
            <w:proofErr w:type="spellEnd"/>
            <w:r w:rsidRPr="005678F0">
              <w:rPr>
                <w:rFonts w:ascii="Karla" w:hAnsi="Karla" w:cs="Karla"/>
                <w:color w:val="041726" w:themeColor="text1"/>
                <w:sz w:val="20"/>
                <w:szCs w:val="20"/>
              </w:rPr>
              <w:t>, we explored the effectiveness of combining a PARP inhibitor with an androgen signaling inhibitor in the first-line treatment setting in mCRPC.</w:t>
            </w:r>
            <w:r w:rsidRPr="005678F0">
              <w:rPr>
                <w:rFonts w:ascii="Karla" w:hAnsi="Karla" w:cs="Karla"/>
                <w:color w:val="041726" w:themeColor="text1"/>
                <w:sz w:val="20"/>
                <w:szCs w:val="20"/>
                <w:vertAlign w:val="superscript"/>
              </w:rPr>
              <w:t>8</w:t>
            </w:r>
            <w:r w:rsidRPr="005678F0">
              <w:rPr>
                <w:rFonts w:ascii="Karla" w:hAnsi="Karla" w:cs="Karla"/>
                <w:color w:val="041726" w:themeColor="text1"/>
                <w:sz w:val="20"/>
                <w:szCs w:val="20"/>
              </w:rPr>
              <w:t xml:space="preserve"> This study demonstrated for the first time that adding LYNPARZA to abiraterone enhances outcomes for patients with the mutated DDR phenotype.</w:t>
            </w:r>
            <w:r w:rsidRPr="005678F0">
              <w:rPr>
                <w:rFonts w:ascii="Karla" w:hAnsi="Karla" w:cs="Karla"/>
                <w:color w:val="041726" w:themeColor="text1"/>
                <w:sz w:val="20"/>
                <w:szCs w:val="20"/>
                <w:vertAlign w:val="superscript"/>
              </w:rPr>
              <w:t>8</w:t>
            </w:r>
            <w:r w:rsidRPr="005678F0">
              <w:rPr>
                <w:rFonts w:ascii="Karla" w:hAnsi="Karla" w:cs="Karla"/>
                <w:color w:val="FF0000"/>
                <w:sz w:val="20"/>
                <w:szCs w:val="20"/>
                <w:vertAlign w:val="superscript"/>
              </w:rPr>
              <w:t xml:space="preserve"> </w:t>
            </w:r>
            <w:r w:rsidRPr="005678F0">
              <w:rPr>
                <w:rFonts w:ascii="Karla" w:hAnsi="Karla" w:cs="Karla"/>
                <w:color w:val="041726" w:themeColor="text1"/>
                <w:sz w:val="20"/>
                <w:szCs w:val="20"/>
              </w:rPr>
              <w:t xml:space="preserve">Previously, it was known that men with </w:t>
            </w:r>
            <w:proofErr w:type="spellStart"/>
            <w:r w:rsidRPr="005678F0">
              <w:rPr>
                <w:rFonts w:ascii="Karla" w:hAnsi="Karla" w:cs="Karla"/>
                <w:color w:val="041726" w:themeColor="text1"/>
                <w:sz w:val="20"/>
                <w:szCs w:val="20"/>
              </w:rPr>
              <w:t>mCRPC</w:t>
            </w:r>
            <w:proofErr w:type="spellEnd"/>
            <w:r w:rsidRPr="005678F0">
              <w:rPr>
                <w:rFonts w:ascii="Karla" w:hAnsi="Karla" w:cs="Karla"/>
                <w:color w:val="041726" w:themeColor="text1"/>
                <w:sz w:val="20"/>
                <w:szCs w:val="20"/>
              </w:rPr>
              <w:t xml:space="preserve"> carrying germline or somatic DDR mutations, particularly </w:t>
            </w:r>
            <w:r w:rsidRPr="005678F0">
              <w:rPr>
                <w:rFonts w:ascii="Karla" w:hAnsi="Karla" w:cs="Karla"/>
                <w:i/>
                <w:iCs/>
                <w:color w:val="041726" w:themeColor="text1"/>
                <w:sz w:val="20"/>
                <w:szCs w:val="20"/>
              </w:rPr>
              <w:t>BRCA</w:t>
            </w:r>
            <w:r w:rsidRPr="005678F0">
              <w:rPr>
                <w:rFonts w:ascii="Karla" w:hAnsi="Karla" w:cs="Karla"/>
                <w:color w:val="041726" w:themeColor="text1"/>
                <w:sz w:val="20"/>
                <w:szCs w:val="20"/>
              </w:rPr>
              <w:t xml:space="preserve"> mutations, faced rapid disease progression and poor survival.</w:t>
            </w:r>
            <w:r w:rsidRPr="005678F0">
              <w:rPr>
                <w:rFonts w:ascii="Karla" w:hAnsi="Karla" w:cs="Karla"/>
                <w:color w:val="041726" w:themeColor="text1"/>
                <w:sz w:val="20"/>
                <w:szCs w:val="20"/>
                <w:vertAlign w:val="superscript"/>
              </w:rPr>
              <w:t>6</w:t>
            </w:r>
            <w:r w:rsidRPr="005678F0">
              <w:rPr>
                <w:rFonts w:asciiTheme="majorHAnsi" w:hAnsiTheme="majorHAnsi"/>
                <w:bCs/>
                <w:color w:val="FF0000"/>
                <w:sz w:val="20"/>
                <w:vertAlign w:val="superscript"/>
              </w:rPr>
              <w:t xml:space="preserve"> </w:t>
            </w:r>
            <w:r w:rsidRPr="005678F0">
              <w:rPr>
                <w:rFonts w:ascii="Karla" w:hAnsi="Karla" w:cs="Karla"/>
                <w:color w:val="041726" w:themeColor="text1"/>
                <w:sz w:val="20"/>
                <w:szCs w:val="20"/>
              </w:rPr>
              <w:t xml:space="preserve">However, </w:t>
            </w:r>
            <w:proofErr w:type="spellStart"/>
            <w:r w:rsidRPr="005678F0">
              <w:rPr>
                <w:rFonts w:ascii="Karla" w:hAnsi="Karla" w:cs="Karla"/>
                <w:color w:val="041726" w:themeColor="text1"/>
                <w:sz w:val="20"/>
                <w:szCs w:val="20"/>
              </w:rPr>
              <w:t>PROpel's</w:t>
            </w:r>
            <w:proofErr w:type="spellEnd"/>
            <w:r w:rsidRPr="005678F0">
              <w:rPr>
                <w:rFonts w:ascii="Karla" w:hAnsi="Karla" w:cs="Karla"/>
                <w:color w:val="041726" w:themeColor="text1"/>
                <w:sz w:val="20"/>
                <w:szCs w:val="20"/>
              </w:rPr>
              <w:t xml:space="preserve"> findings completely changed this outlook by showing the significant impact of starting this combination therapy early in the treatment sequence. For men with </w:t>
            </w:r>
            <w:r w:rsidRPr="005678F0">
              <w:rPr>
                <w:rFonts w:ascii="Karla" w:hAnsi="Karla" w:cs="Karla"/>
                <w:i/>
                <w:iCs/>
                <w:color w:val="041726" w:themeColor="text1"/>
                <w:sz w:val="20"/>
                <w:szCs w:val="20"/>
              </w:rPr>
              <w:t>BRCA</w:t>
            </w:r>
            <w:r w:rsidRPr="005678F0">
              <w:rPr>
                <w:rFonts w:ascii="Karla" w:hAnsi="Karla" w:cs="Karla"/>
                <w:color w:val="041726" w:themeColor="text1"/>
                <w:sz w:val="20"/>
                <w:szCs w:val="20"/>
              </w:rPr>
              <w:t xml:space="preserve">-mutated </w:t>
            </w:r>
            <w:proofErr w:type="spellStart"/>
            <w:r w:rsidRPr="005678F0">
              <w:rPr>
                <w:rFonts w:ascii="Karla" w:hAnsi="Karla" w:cs="Karla"/>
                <w:color w:val="041726" w:themeColor="text1"/>
                <w:sz w:val="20"/>
                <w:szCs w:val="20"/>
              </w:rPr>
              <w:t>mCRPC</w:t>
            </w:r>
            <w:proofErr w:type="spellEnd"/>
            <w:r w:rsidRPr="005678F0">
              <w:rPr>
                <w:rFonts w:ascii="Karla" w:hAnsi="Karla" w:cs="Karla"/>
                <w:color w:val="041726" w:themeColor="text1"/>
                <w:sz w:val="20"/>
                <w:szCs w:val="20"/>
              </w:rPr>
              <w:t>, initiating this combination upfront offered a substantial improvement in their prognosis compared to previous standard of care, abiraterone, allowing them to live longer with the disease.</w:t>
            </w:r>
            <w:r w:rsidRPr="005678F0">
              <w:rPr>
                <w:rFonts w:ascii="Karla" w:hAnsi="Karla" w:cs="Karla"/>
                <w:color w:val="041726" w:themeColor="text1"/>
                <w:sz w:val="20"/>
                <w:szCs w:val="20"/>
                <w:vertAlign w:val="superscript"/>
              </w:rPr>
              <w:t>5</w:t>
            </w:r>
          </w:p>
          <w:p w14:paraId="72F98654" w14:textId="77777777" w:rsidR="00C83C35" w:rsidRDefault="00C83C35" w:rsidP="00201F95">
            <w:pPr>
              <w:pStyle w:val="TableParagraph"/>
              <w:ind w:left="60"/>
              <w:rPr>
                <w:rFonts w:asciiTheme="majorHAnsi" w:hAnsiTheme="majorHAnsi"/>
                <w:bCs/>
                <w:sz w:val="20"/>
                <w:vertAlign w:val="superscript"/>
              </w:rPr>
            </w:pPr>
            <w:r w:rsidRPr="005678F0">
              <w:rPr>
                <w:rFonts w:asciiTheme="majorHAnsi" w:hAnsiTheme="majorHAnsi"/>
                <w:bCs/>
                <w:sz w:val="20"/>
              </w:rPr>
              <w:t xml:space="preserve">In 2023, LYNPARZA was approved in combination with abiraterone and prednisone or prednisolone for the treatment of adult patients with deleterious or suspected deleterious </w:t>
            </w:r>
            <w:proofErr w:type="spellStart"/>
            <w:r w:rsidRPr="005678F0">
              <w:rPr>
                <w:rFonts w:asciiTheme="majorHAnsi" w:hAnsiTheme="majorHAnsi"/>
                <w:bCs/>
                <w:i/>
                <w:iCs/>
                <w:sz w:val="20"/>
              </w:rPr>
              <w:t>BRCA</w:t>
            </w:r>
            <w:r w:rsidRPr="005678F0">
              <w:rPr>
                <w:rFonts w:asciiTheme="majorHAnsi" w:hAnsiTheme="majorHAnsi"/>
                <w:bCs/>
                <w:sz w:val="20"/>
              </w:rPr>
              <w:t>m</w:t>
            </w:r>
            <w:proofErr w:type="spellEnd"/>
            <w:r w:rsidRPr="005678F0">
              <w:rPr>
                <w:rFonts w:asciiTheme="majorHAnsi" w:hAnsiTheme="majorHAnsi"/>
                <w:bCs/>
                <w:sz w:val="20"/>
              </w:rPr>
              <w:t xml:space="preserve"> mCRPC.</w:t>
            </w:r>
            <w:r w:rsidRPr="005678F0">
              <w:rPr>
                <w:rFonts w:asciiTheme="majorHAnsi" w:hAnsiTheme="majorHAnsi"/>
                <w:bCs/>
                <w:sz w:val="20"/>
                <w:vertAlign w:val="superscript"/>
              </w:rPr>
              <w:t>5,</w:t>
            </w:r>
            <w:proofErr w:type="gramStart"/>
            <w:r w:rsidRPr="005678F0">
              <w:rPr>
                <w:rFonts w:asciiTheme="majorHAnsi" w:hAnsiTheme="majorHAnsi"/>
                <w:bCs/>
                <w:sz w:val="20"/>
                <w:vertAlign w:val="superscript"/>
              </w:rPr>
              <w:t>9</w:t>
            </w:r>
            <w:proofErr w:type="gramEnd"/>
          </w:p>
          <w:p w14:paraId="56165E4C" w14:textId="3189B3E7" w:rsidR="001B43F7" w:rsidRPr="001B43F7" w:rsidRDefault="001B43F7" w:rsidP="00201F95">
            <w:pPr>
              <w:pStyle w:val="TableParagraph"/>
              <w:ind w:left="60"/>
              <w:rPr>
                <w:rFonts w:ascii="Karla" w:hAnsi="Karla" w:cs="Karla"/>
                <w:color w:val="041726" w:themeColor="text1"/>
                <w:sz w:val="10"/>
                <w:szCs w:val="12"/>
              </w:rPr>
            </w:pPr>
          </w:p>
        </w:tc>
      </w:tr>
      <w:tr w:rsidR="00C83C35" w:rsidRPr="005678F0" w14:paraId="192461F8" w14:textId="7E2E9FD4" w:rsidTr="0052503C">
        <w:trPr>
          <w:gridAfter w:val="1"/>
          <w:wAfter w:w="90" w:type="dxa"/>
          <w:cantSplit/>
          <w:trHeight w:val="317"/>
        </w:trPr>
        <w:tc>
          <w:tcPr>
            <w:tcW w:w="12960" w:type="dxa"/>
            <w:gridSpan w:val="2"/>
            <w:shd w:val="clear" w:color="auto" w:fill="829BAD" w:themeFill="background2"/>
          </w:tcPr>
          <w:p w14:paraId="1A909FB3" w14:textId="5F89837A" w:rsidR="00C83C35" w:rsidRPr="005678F0" w:rsidRDefault="00C83C35" w:rsidP="008F6E08">
            <w:pPr>
              <w:pStyle w:val="TableParagraph"/>
              <w:spacing w:before="48" w:line="276" w:lineRule="auto"/>
              <w:ind w:left="60"/>
              <w:rPr>
                <w:rFonts w:asciiTheme="majorHAnsi" w:hAnsiTheme="majorHAnsi"/>
                <w:b/>
                <w:noProof/>
                <w:color w:val="FFFFFF" w:themeColor="accent6"/>
                <w:sz w:val="20"/>
              </w:rPr>
            </w:pPr>
            <w:r w:rsidRPr="005678F0">
              <w:rPr>
                <w:rFonts w:asciiTheme="majorHAnsi" w:hAnsiTheme="majorHAnsi"/>
                <w:b/>
                <w:color w:val="FFFFFF" w:themeColor="accent6"/>
                <w:sz w:val="20"/>
              </w:rPr>
              <w:lastRenderedPageBreak/>
              <w:t>Screen 5</w:t>
            </w:r>
          </w:p>
        </w:tc>
      </w:tr>
      <w:tr w:rsidR="00C83C35" w:rsidRPr="005678F0" w14:paraId="247C7952" w14:textId="4077885D" w:rsidTr="0052503C">
        <w:trPr>
          <w:gridAfter w:val="1"/>
          <w:wAfter w:w="90" w:type="dxa"/>
          <w:cantSplit/>
          <w:trHeight w:val="756"/>
        </w:trPr>
        <w:tc>
          <w:tcPr>
            <w:tcW w:w="12960" w:type="dxa"/>
            <w:gridSpan w:val="2"/>
            <w:shd w:val="clear" w:color="auto" w:fill="auto"/>
          </w:tcPr>
          <w:p w14:paraId="50431E4C" w14:textId="77777777" w:rsidR="00C83C35" w:rsidRDefault="00C83C35" w:rsidP="000017B3">
            <w:pPr>
              <w:pStyle w:val="TableParagraph"/>
              <w:ind w:left="90"/>
              <w:rPr>
                <w:rFonts w:ascii="Karla" w:eastAsiaTheme="minorHAnsi" w:hAnsi="Karla" w:cs="Karla"/>
                <w:color w:val="041726" w:themeColor="text1"/>
                <w:sz w:val="20"/>
                <w:szCs w:val="20"/>
              </w:rPr>
            </w:pPr>
            <w:r w:rsidRPr="005678F0">
              <w:rPr>
                <w:rFonts w:ascii="Karla" w:eastAsiaTheme="minorHAnsi" w:hAnsi="Karla" w:cs="Karla"/>
                <w:color w:val="041726" w:themeColor="text1"/>
                <w:sz w:val="20"/>
                <w:szCs w:val="20"/>
              </w:rPr>
              <w:t xml:space="preserve">Taken together, the LYNPARZA clinical trials made a strong case for the use of precision medicine in prostate cancer, </w:t>
            </w:r>
            <w:proofErr w:type="gramStart"/>
            <w:r w:rsidRPr="005678F0">
              <w:rPr>
                <w:rFonts w:ascii="Karla" w:eastAsiaTheme="minorHAnsi" w:hAnsi="Karla" w:cs="Karla"/>
                <w:color w:val="041726" w:themeColor="text1"/>
                <w:sz w:val="20"/>
                <w:szCs w:val="20"/>
              </w:rPr>
              <w:t>and also</w:t>
            </w:r>
            <w:proofErr w:type="gramEnd"/>
            <w:r w:rsidRPr="005678F0">
              <w:rPr>
                <w:rFonts w:ascii="Karla" w:eastAsiaTheme="minorHAnsi" w:hAnsi="Karla" w:cs="Karla"/>
                <w:color w:val="041726" w:themeColor="text1"/>
                <w:sz w:val="20"/>
                <w:szCs w:val="20"/>
              </w:rPr>
              <w:t xml:space="preserve"> changed the view of the community that not all prostate cancer is the same, not all metastatic CRPC is the same, and not all locally advanced prostate cancers are the same. </w:t>
            </w:r>
          </w:p>
          <w:p w14:paraId="23CF1C12" w14:textId="56364E4E" w:rsidR="0052503C" w:rsidRPr="005678F0" w:rsidRDefault="0052503C" w:rsidP="000017B3">
            <w:pPr>
              <w:pStyle w:val="TableParagraph"/>
              <w:ind w:left="90"/>
              <w:rPr>
                <w:rFonts w:asciiTheme="majorHAnsi" w:hAnsiTheme="majorHAnsi"/>
                <w:bCs/>
                <w:noProof/>
                <w:sz w:val="20"/>
              </w:rPr>
            </w:pPr>
          </w:p>
        </w:tc>
      </w:tr>
      <w:tr w:rsidR="00C83C35" w:rsidRPr="005678F0" w14:paraId="3B5FAB96" w14:textId="43ACB0A6" w:rsidTr="0052503C">
        <w:trPr>
          <w:gridAfter w:val="1"/>
          <w:wAfter w:w="90" w:type="dxa"/>
          <w:cantSplit/>
          <w:trHeight w:val="317"/>
        </w:trPr>
        <w:tc>
          <w:tcPr>
            <w:tcW w:w="12960" w:type="dxa"/>
            <w:gridSpan w:val="2"/>
            <w:shd w:val="clear" w:color="auto" w:fill="829BAD" w:themeFill="background2"/>
          </w:tcPr>
          <w:p w14:paraId="64D4004C" w14:textId="69A3482A" w:rsidR="00C83C35" w:rsidRPr="005678F0" w:rsidRDefault="00FC3703" w:rsidP="008F6E08">
            <w:pPr>
              <w:pStyle w:val="TableParagraph"/>
              <w:spacing w:before="48" w:line="276" w:lineRule="auto"/>
              <w:ind w:left="60"/>
              <w:rPr>
                <w:rFonts w:asciiTheme="majorHAnsi" w:hAnsiTheme="majorHAnsi"/>
                <w:b/>
                <w:noProof/>
                <w:color w:val="FFFFFF" w:themeColor="accent6"/>
                <w:sz w:val="20"/>
              </w:rPr>
            </w:pPr>
            <w:r w:rsidRPr="005678F0">
              <w:br w:type="page"/>
            </w:r>
            <w:r w:rsidR="00C83C35" w:rsidRPr="005678F0">
              <w:rPr>
                <w:rFonts w:asciiTheme="majorHAnsi" w:hAnsiTheme="majorHAnsi"/>
                <w:b/>
                <w:color w:val="FFFFFF" w:themeColor="accent6"/>
                <w:sz w:val="20"/>
              </w:rPr>
              <w:t>Screen 6</w:t>
            </w:r>
          </w:p>
        </w:tc>
      </w:tr>
      <w:tr w:rsidR="00C83C35" w:rsidRPr="005678F0" w14:paraId="64C26994" w14:textId="032DF081" w:rsidTr="0052503C">
        <w:trPr>
          <w:gridAfter w:val="1"/>
          <w:wAfter w:w="90" w:type="dxa"/>
          <w:cantSplit/>
          <w:trHeight w:val="5427"/>
        </w:trPr>
        <w:tc>
          <w:tcPr>
            <w:tcW w:w="12960" w:type="dxa"/>
            <w:gridSpan w:val="2"/>
            <w:shd w:val="clear" w:color="auto" w:fill="auto"/>
          </w:tcPr>
          <w:p w14:paraId="2C60BA19" w14:textId="188AD3BF" w:rsidR="00C83C35" w:rsidRPr="005678F0" w:rsidRDefault="00C83C35" w:rsidP="0052503C">
            <w:pPr>
              <w:pStyle w:val="TableParagraph"/>
              <w:ind w:left="60"/>
              <w:rPr>
                <w:rFonts w:asciiTheme="majorHAnsi" w:hAnsiTheme="majorHAnsi"/>
                <w:bCs/>
                <w:noProof/>
                <w:sz w:val="20"/>
                <w:szCs w:val="21"/>
              </w:rPr>
            </w:pPr>
            <w:r w:rsidRPr="005678F0">
              <w:rPr>
                <w:rFonts w:asciiTheme="majorHAnsi" w:hAnsiTheme="majorHAnsi"/>
                <w:bCs/>
                <w:noProof/>
                <w:sz w:val="20"/>
                <w:szCs w:val="21"/>
              </w:rPr>
              <w:t xml:space="preserve">I'd like to share a story about a man with mCRPC whom I treated with LYNPARZA and who continues on it today. </w:t>
            </w:r>
          </w:p>
          <w:p w14:paraId="03826146" w14:textId="036A1A97" w:rsidR="00C83C35" w:rsidRDefault="00C83C35" w:rsidP="0052503C">
            <w:pPr>
              <w:pStyle w:val="TableParagraph"/>
              <w:ind w:left="60"/>
              <w:rPr>
                <w:rFonts w:asciiTheme="majorHAnsi" w:hAnsiTheme="majorHAnsi"/>
                <w:bCs/>
                <w:noProof/>
                <w:sz w:val="20"/>
                <w:szCs w:val="21"/>
              </w:rPr>
            </w:pPr>
            <w:r w:rsidRPr="005678F0">
              <w:rPr>
                <w:rFonts w:asciiTheme="majorHAnsi" w:hAnsiTheme="majorHAnsi"/>
                <w:bCs/>
                <w:noProof/>
                <w:sz w:val="20"/>
                <w:szCs w:val="21"/>
              </w:rPr>
              <w:t>A 42-year-old man, diagnosed with mCRPC, came to see me at my Houston clinic, accompanied by his wife. They had two young children at home. Originally, he was misdiagnosed with locally advanced prostate cancer at the age of 41, he underwent androgen deprivation therapy and radiation and unfortunately progressed rapidly within six months. Subsequent chemotherapy with docetaxel also proved ineffective. He had not received germline testing at this point</w:t>
            </w:r>
          </w:p>
          <w:p w14:paraId="7ABBD336" w14:textId="77777777" w:rsidR="0052503C" w:rsidRPr="005678F0" w:rsidRDefault="0052503C" w:rsidP="0052503C">
            <w:pPr>
              <w:pStyle w:val="TableParagraph"/>
              <w:ind w:left="60"/>
              <w:rPr>
                <w:rFonts w:asciiTheme="majorHAnsi" w:hAnsiTheme="majorHAnsi"/>
                <w:bCs/>
                <w:noProof/>
                <w:sz w:val="20"/>
                <w:szCs w:val="21"/>
              </w:rPr>
            </w:pPr>
          </w:p>
          <w:p w14:paraId="098F2CD2" w14:textId="4631E6A5" w:rsidR="00C83C35" w:rsidRDefault="00C83C35" w:rsidP="0052503C">
            <w:pPr>
              <w:pStyle w:val="TableParagraph"/>
              <w:ind w:left="60"/>
              <w:rPr>
                <w:rFonts w:asciiTheme="majorHAnsi" w:hAnsiTheme="majorHAnsi"/>
                <w:bCs/>
                <w:noProof/>
                <w:sz w:val="20"/>
                <w:szCs w:val="21"/>
                <w:lang w:val="en-CA"/>
              </w:rPr>
            </w:pPr>
            <w:r w:rsidRPr="005678F0">
              <w:rPr>
                <w:rFonts w:asciiTheme="majorHAnsi" w:hAnsiTheme="majorHAnsi"/>
                <w:bCs/>
                <w:noProof/>
                <w:sz w:val="20"/>
                <w:szCs w:val="21"/>
                <w:lang w:val="en-CA"/>
              </w:rPr>
              <w:t xml:space="preserve">With limited insurance coverage, we could only conduct CT scans which revealed bone, liver, and lymph node metastases. Despite initial setbacks, we came to secure support for germline and somatic testing and initiated treatment with abiraterone. However, his PSA continued to rise. The man’s genetic testing results came back, revealing that he had a hereditary </w:t>
            </w:r>
            <w:r w:rsidRPr="005678F0">
              <w:rPr>
                <w:rFonts w:asciiTheme="majorHAnsi" w:hAnsiTheme="majorHAnsi"/>
                <w:bCs/>
                <w:i/>
                <w:iCs/>
                <w:noProof/>
                <w:sz w:val="20"/>
                <w:szCs w:val="21"/>
                <w:lang w:val="en-CA"/>
              </w:rPr>
              <w:t>BRCA2</w:t>
            </w:r>
            <w:r w:rsidRPr="005678F0">
              <w:rPr>
                <w:rFonts w:asciiTheme="majorHAnsi" w:hAnsiTheme="majorHAnsi"/>
                <w:bCs/>
                <w:noProof/>
                <w:sz w:val="20"/>
                <w:szCs w:val="21"/>
                <w:lang w:val="en-CA"/>
              </w:rPr>
              <w:t xml:space="preserve"> gene mutation.</w:t>
            </w:r>
          </w:p>
          <w:p w14:paraId="07B61918" w14:textId="77777777" w:rsidR="0052503C" w:rsidRPr="005678F0" w:rsidRDefault="0052503C" w:rsidP="0052503C">
            <w:pPr>
              <w:pStyle w:val="TableParagraph"/>
              <w:ind w:left="60"/>
              <w:rPr>
                <w:rFonts w:asciiTheme="majorHAnsi" w:hAnsiTheme="majorHAnsi"/>
                <w:bCs/>
                <w:noProof/>
                <w:sz w:val="20"/>
                <w:szCs w:val="21"/>
                <w:lang w:val="en-CA"/>
              </w:rPr>
            </w:pPr>
          </w:p>
          <w:p w14:paraId="36A7012C" w14:textId="1AB25349" w:rsidR="00C83C35" w:rsidRDefault="00C83C35" w:rsidP="0052503C">
            <w:pPr>
              <w:pStyle w:val="TableParagraph"/>
              <w:ind w:left="60"/>
              <w:rPr>
                <w:rFonts w:asciiTheme="majorHAnsi" w:hAnsiTheme="majorHAnsi"/>
                <w:bCs/>
                <w:noProof/>
                <w:sz w:val="20"/>
                <w:szCs w:val="21"/>
              </w:rPr>
            </w:pPr>
            <w:r w:rsidRPr="005678F0">
              <w:rPr>
                <w:rFonts w:asciiTheme="majorHAnsi" w:hAnsiTheme="majorHAnsi"/>
                <w:bCs/>
                <w:noProof/>
                <w:sz w:val="20"/>
                <w:szCs w:val="21"/>
              </w:rPr>
              <w:t>At this stage, traditional treatments like hormone therapy and chemotherapy weren't working anymore. Amidst AstraZeneca's PROpel trial announcement combining abiraterone with LYNPARZA in first line for patients with mCRPC,</w:t>
            </w:r>
            <w:r w:rsidRPr="005678F0">
              <w:rPr>
                <w:rFonts w:asciiTheme="majorHAnsi" w:hAnsiTheme="majorHAnsi"/>
                <w:bCs/>
                <w:noProof/>
                <w:sz w:val="20"/>
                <w:szCs w:val="21"/>
                <w:vertAlign w:val="superscript"/>
              </w:rPr>
              <w:t>10</w:t>
            </w:r>
            <w:r w:rsidRPr="005678F0">
              <w:rPr>
                <w:rFonts w:asciiTheme="majorHAnsi" w:hAnsiTheme="majorHAnsi"/>
                <w:bCs/>
                <w:noProof/>
                <w:color w:val="FF0000"/>
                <w:sz w:val="20"/>
                <w:szCs w:val="21"/>
                <w:vertAlign w:val="superscript"/>
              </w:rPr>
              <w:t xml:space="preserve"> </w:t>
            </w:r>
            <w:r w:rsidRPr="005678F0">
              <w:rPr>
                <w:rFonts w:asciiTheme="majorHAnsi" w:hAnsiTheme="majorHAnsi"/>
                <w:bCs/>
                <w:noProof/>
                <w:sz w:val="20"/>
                <w:szCs w:val="21"/>
              </w:rPr>
              <w:t>I discussed the potential benefits with the patient and his wife, and we embarked on combination therapy. Although his PSA initially continued to climb for several months, by the sixth month, it dramatically dropped to below one from a peak of 150.</w:t>
            </w:r>
          </w:p>
          <w:p w14:paraId="7EED8165" w14:textId="77777777" w:rsidR="0052503C" w:rsidRPr="005678F0" w:rsidRDefault="0052503C" w:rsidP="0052503C">
            <w:pPr>
              <w:pStyle w:val="TableParagraph"/>
              <w:ind w:left="60"/>
              <w:rPr>
                <w:rFonts w:asciiTheme="majorHAnsi" w:hAnsiTheme="majorHAnsi"/>
                <w:bCs/>
                <w:noProof/>
                <w:sz w:val="20"/>
                <w:szCs w:val="21"/>
              </w:rPr>
            </w:pPr>
          </w:p>
          <w:p w14:paraId="44880381" w14:textId="0AD4A45E" w:rsidR="00C83C35" w:rsidRDefault="00C83C35" w:rsidP="0052503C">
            <w:pPr>
              <w:pStyle w:val="TableParagraph"/>
              <w:ind w:left="60"/>
              <w:rPr>
                <w:rFonts w:asciiTheme="majorHAnsi" w:hAnsiTheme="majorHAnsi"/>
                <w:bCs/>
                <w:noProof/>
                <w:sz w:val="20"/>
                <w:szCs w:val="21"/>
              </w:rPr>
            </w:pPr>
            <w:r w:rsidRPr="005678F0">
              <w:rPr>
                <w:rFonts w:asciiTheme="majorHAnsi" w:hAnsiTheme="majorHAnsi"/>
                <w:bCs/>
                <w:noProof/>
                <w:sz w:val="20"/>
                <w:szCs w:val="21"/>
              </w:rPr>
              <w:t>This patient is still on abiraterone plus LYNPARZA today, maintaining a lifestyle as a full-time truck driver, albeit managing fatigue. While his aggressive prostate cancer remains metastatic and castration-resistant, the combination of LYNPARZA plus abiraterone has significantly stabilized his disease.</w:t>
            </w:r>
          </w:p>
          <w:p w14:paraId="61924148" w14:textId="77777777" w:rsidR="0052503C" w:rsidRPr="005678F0" w:rsidRDefault="0052503C" w:rsidP="0052503C">
            <w:pPr>
              <w:pStyle w:val="TableParagraph"/>
              <w:ind w:left="60"/>
              <w:rPr>
                <w:rFonts w:asciiTheme="majorHAnsi" w:hAnsiTheme="majorHAnsi"/>
                <w:bCs/>
                <w:noProof/>
                <w:sz w:val="20"/>
                <w:szCs w:val="21"/>
              </w:rPr>
            </w:pPr>
          </w:p>
          <w:p w14:paraId="12928349" w14:textId="77777777" w:rsidR="0052503C" w:rsidRDefault="00C83C35" w:rsidP="0052503C">
            <w:pPr>
              <w:pStyle w:val="TableParagraph"/>
              <w:ind w:left="60"/>
              <w:rPr>
                <w:rFonts w:asciiTheme="majorHAnsi" w:hAnsiTheme="majorHAnsi"/>
                <w:bCs/>
                <w:noProof/>
                <w:sz w:val="20"/>
                <w:szCs w:val="21"/>
              </w:rPr>
            </w:pPr>
            <w:r w:rsidRPr="005678F0">
              <w:rPr>
                <w:rFonts w:asciiTheme="majorHAnsi" w:hAnsiTheme="majorHAnsi"/>
                <w:bCs/>
                <w:noProof/>
                <w:sz w:val="20"/>
                <w:szCs w:val="21"/>
              </w:rPr>
              <w:t>This man's journey has been remarkable because the phenotype of his cancer has been changed. Despite having a very aggressive and advanced form of prostate cancer that's difficult to treat, he's experienced a significant benefit of LYNPARZA combined with abiraterone. While we can't predict the long-term, he's had a remarkable period of improvement and stability in his life. This case underscores the importance of genetic testing for men with prostate cancer, helping us choose the most effective treatments available.</w:t>
            </w:r>
          </w:p>
          <w:p w14:paraId="72F18C57" w14:textId="77777777" w:rsidR="0052503C" w:rsidRDefault="0052503C" w:rsidP="0052503C">
            <w:pPr>
              <w:pStyle w:val="TableParagraph"/>
              <w:ind w:left="60"/>
              <w:rPr>
                <w:rFonts w:asciiTheme="majorHAnsi" w:hAnsiTheme="majorHAnsi"/>
                <w:bCs/>
                <w:noProof/>
                <w:sz w:val="20"/>
                <w:szCs w:val="21"/>
              </w:rPr>
            </w:pPr>
          </w:p>
          <w:p w14:paraId="5573708E" w14:textId="77777777" w:rsidR="0052503C" w:rsidRDefault="0052503C" w:rsidP="0052503C">
            <w:pPr>
              <w:pStyle w:val="TableParagraph"/>
              <w:ind w:left="60"/>
              <w:rPr>
                <w:rFonts w:asciiTheme="majorHAnsi" w:hAnsiTheme="majorHAnsi"/>
                <w:bCs/>
                <w:noProof/>
                <w:sz w:val="20"/>
                <w:szCs w:val="21"/>
              </w:rPr>
            </w:pPr>
          </w:p>
          <w:p w14:paraId="68297ADD" w14:textId="77777777" w:rsidR="0052503C" w:rsidRDefault="0052503C" w:rsidP="0052503C">
            <w:pPr>
              <w:pStyle w:val="TableParagraph"/>
              <w:ind w:left="60"/>
              <w:rPr>
                <w:rFonts w:asciiTheme="majorHAnsi" w:hAnsiTheme="majorHAnsi"/>
                <w:bCs/>
                <w:noProof/>
                <w:sz w:val="20"/>
                <w:szCs w:val="21"/>
              </w:rPr>
            </w:pPr>
          </w:p>
          <w:p w14:paraId="3DE68063" w14:textId="77777777" w:rsidR="0052503C" w:rsidRDefault="0052503C" w:rsidP="0052503C">
            <w:pPr>
              <w:pStyle w:val="TableParagraph"/>
              <w:ind w:left="60"/>
              <w:rPr>
                <w:rFonts w:asciiTheme="majorHAnsi" w:hAnsiTheme="majorHAnsi"/>
                <w:bCs/>
                <w:noProof/>
                <w:sz w:val="20"/>
                <w:szCs w:val="21"/>
              </w:rPr>
            </w:pPr>
          </w:p>
          <w:p w14:paraId="587D8EAF" w14:textId="77777777" w:rsidR="0052503C" w:rsidRDefault="0052503C" w:rsidP="0052503C">
            <w:pPr>
              <w:pStyle w:val="TableParagraph"/>
              <w:ind w:left="60"/>
              <w:rPr>
                <w:rFonts w:asciiTheme="majorHAnsi" w:hAnsiTheme="majorHAnsi"/>
                <w:bCs/>
                <w:noProof/>
                <w:sz w:val="20"/>
                <w:szCs w:val="21"/>
              </w:rPr>
            </w:pPr>
          </w:p>
          <w:p w14:paraId="67878B44" w14:textId="77777777" w:rsidR="0052503C" w:rsidRDefault="0052503C" w:rsidP="0052503C">
            <w:pPr>
              <w:pStyle w:val="TableParagraph"/>
              <w:ind w:left="60"/>
              <w:rPr>
                <w:rFonts w:asciiTheme="majorHAnsi" w:hAnsiTheme="majorHAnsi"/>
                <w:bCs/>
                <w:noProof/>
                <w:sz w:val="20"/>
                <w:szCs w:val="21"/>
              </w:rPr>
            </w:pPr>
          </w:p>
          <w:p w14:paraId="72EF92A6" w14:textId="77777777" w:rsidR="0052503C" w:rsidRDefault="0052503C" w:rsidP="0052503C">
            <w:pPr>
              <w:pStyle w:val="TableParagraph"/>
              <w:ind w:left="60"/>
              <w:rPr>
                <w:rFonts w:asciiTheme="majorHAnsi" w:hAnsiTheme="majorHAnsi"/>
                <w:bCs/>
                <w:noProof/>
                <w:sz w:val="20"/>
                <w:szCs w:val="21"/>
              </w:rPr>
            </w:pPr>
          </w:p>
          <w:p w14:paraId="22486C13" w14:textId="77777777" w:rsidR="0052503C" w:rsidRDefault="0052503C" w:rsidP="0052503C">
            <w:pPr>
              <w:pStyle w:val="TableParagraph"/>
              <w:ind w:left="60"/>
              <w:rPr>
                <w:rFonts w:asciiTheme="majorHAnsi" w:hAnsiTheme="majorHAnsi"/>
                <w:bCs/>
                <w:noProof/>
                <w:sz w:val="20"/>
                <w:szCs w:val="21"/>
              </w:rPr>
            </w:pPr>
          </w:p>
          <w:p w14:paraId="3A354875" w14:textId="77777777" w:rsidR="0052503C" w:rsidRDefault="0052503C" w:rsidP="0052503C">
            <w:pPr>
              <w:pStyle w:val="TableParagraph"/>
              <w:ind w:left="60"/>
              <w:rPr>
                <w:rFonts w:asciiTheme="majorHAnsi" w:hAnsiTheme="majorHAnsi"/>
                <w:bCs/>
                <w:noProof/>
                <w:sz w:val="20"/>
                <w:szCs w:val="21"/>
              </w:rPr>
            </w:pPr>
          </w:p>
          <w:p w14:paraId="366B8925" w14:textId="77777777" w:rsidR="0052503C" w:rsidRDefault="0052503C" w:rsidP="0052503C">
            <w:pPr>
              <w:pStyle w:val="TableParagraph"/>
              <w:ind w:left="60"/>
              <w:rPr>
                <w:rFonts w:asciiTheme="majorHAnsi" w:hAnsiTheme="majorHAnsi"/>
                <w:bCs/>
                <w:noProof/>
                <w:sz w:val="20"/>
                <w:szCs w:val="21"/>
              </w:rPr>
            </w:pPr>
          </w:p>
          <w:p w14:paraId="0226D485" w14:textId="77777777" w:rsidR="0052503C" w:rsidRDefault="0052503C" w:rsidP="0052503C">
            <w:pPr>
              <w:pStyle w:val="TableParagraph"/>
              <w:ind w:left="60"/>
              <w:rPr>
                <w:rFonts w:asciiTheme="majorHAnsi" w:hAnsiTheme="majorHAnsi"/>
                <w:bCs/>
                <w:noProof/>
                <w:sz w:val="20"/>
                <w:szCs w:val="21"/>
              </w:rPr>
            </w:pPr>
          </w:p>
          <w:p w14:paraId="604671FB" w14:textId="710EDB5A" w:rsidR="0052503C" w:rsidRPr="0052503C" w:rsidRDefault="0052503C" w:rsidP="0052503C">
            <w:pPr>
              <w:pStyle w:val="TableParagraph"/>
              <w:ind w:left="60"/>
              <w:rPr>
                <w:rFonts w:asciiTheme="majorHAnsi" w:hAnsiTheme="majorHAnsi"/>
                <w:bCs/>
                <w:noProof/>
                <w:sz w:val="20"/>
                <w:szCs w:val="21"/>
              </w:rPr>
            </w:pPr>
          </w:p>
        </w:tc>
      </w:tr>
      <w:tr w:rsidR="00C83C35" w:rsidRPr="005678F0" w14:paraId="4DE00E23" w14:textId="77777777" w:rsidTr="0052503C">
        <w:trPr>
          <w:gridAfter w:val="2"/>
          <w:wAfter w:w="180" w:type="dxa"/>
          <w:cantSplit/>
          <w:trHeight w:val="317"/>
        </w:trPr>
        <w:tc>
          <w:tcPr>
            <w:tcW w:w="12870" w:type="dxa"/>
            <w:shd w:val="clear" w:color="auto" w:fill="829BAD" w:themeFill="background2"/>
          </w:tcPr>
          <w:p w14:paraId="0625416A" w14:textId="54594A9F" w:rsidR="00C83C35" w:rsidRPr="005678F0" w:rsidRDefault="00C83C35" w:rsidP="008F6E08">
            <w:pPr>
              <w:pStyle w:val="BasicParagraph"/>
              <w:suppressAutoHyphens/>
              <w:spacing w:line="240" w:lineRule="auto"/>
              <w:ind w:left="90" w:right="181"/>
              <w:rPr>
                <w:rFonts w:ascii="Karla" w:hAnsi="Karla" w:cs="Karla"/>
                <w:b/>
                <w:bCs/>
                <w:color w:val="041726" w:themeColor="text1"/>
                <w:sz w:val="20"/>
                <w:szCs w:val="20"/>
              </w:rPr>
            </w:pPr>
            <w:r w:rsidRPr="005678F0">
              <w:rPr>
                <w:rFonts w:asciiTheme="majorHAnsi" w:hAnsiTheme="majorHAnsi"/>
                <w:b/>
                <w:color w:val="FFFFFF" w:themeColor="accent6"/>
                <w:sz w:val="20"/>
              </w:rPr>
              <w:lastRenderedPageBreak/>
              <w:t>Screen 7</w:t>
            </w:r>
          </w:p>
        </w:tc>
      </w:tr>
      <w:tr w:rsidR="00C83C35" w:rsidRPr="005678F0" w14:paraId="6E8B3592" w14:textId="77777777" w:rsidTr="0052503C">
        <w:trPr>
          <w:gridAfter w:val="2"/>
          <w:wAfter w:w="180" w:type="dxa"/>
          <w:cantSplit/>
          <w:trHeight w:val="3276"/>
        </w:trPr>
        <w:tc>
          <w:tcPr>
            <w:tcW w:w="12870" w:type="dxa"/>
            <w:shd w:val="clear" w:color="auto" w:fill="auto"/>
          </w:tcPr>
          <w:p w14:paraId="0FA349B0" w14:textId="77777777" w:rsidR="00C83C35" w:rsidRPr="005678F0" w:rsidRDefault="00C83C35" w:rsidP="001D2E0D">
            <w:pPr>
              <w:pStyle w:val="BasicParagraph"/>
              <w:suppressAutoHyphens/>
              <w:spacing w:line="240" w:lineRule="auto"/>
              <w:ind w:left="90" w:right="181"/>
              <w:rPr>
                <w:rFonts w:asciiTheme="majorHAnsi" w:hAnsiTheme="majorHAnsi" w:cs="Gotham Bold"/>
                <w:color w:val="041726" w:themeColor="text1"/>
                <w:sz w:val="20"/>
                <w:szCs w:val="20"/>
              </w:rPr>
            </w:pPr>
            <w:r w:rsidRPr="005678F0">
              <w:rPr>
                <w:rFonts w:asciiTheme="majorHAnsi" w:hAnsiTheme="majorHAnsi" w:cs="Gotham Bold"/>
                <w:color w:val="041726" w:themeColor="text1"/>
                <w:sz w:val="20"/>
                <w:szCs w:val="20"/>
              </w:rPr>
              <w:t>There's a pressing need to increase awareness about the importance of biomarkers and testing in prostate cancer. While some providers are beginning to grasp its significance, more can be done. This isn't a critique of medical professionals but rather a call for enhanced education, awareness, and support among oncologists and urologists alike.</w:t>
            </w:r>
          </w:p>
          <w:p w14:paraId="064E9678" w14:textId="77777777" w:rsidR="00C83C35" w:rsidRPr="005678F0" w:rsidRDefault="00C83C35" w:rsidP="001D2E0D">
            <w:pPr>
              <w:pStyle w:val="BasicParagraph"/>
              <w:suppressAutoHyphens/>
              <w:spacing w:line="240" w:lineRule="auto"/>
              <w:ind w:left="90" w:right="181"/>
              <w:rPr>
                <w:rFonts w:asciiTheme="majorHAnsi" w:hAnsiTheme="majorHAnsi" w:cs="Gotham Bold"/>
                <w:color w:val="041726" w:themeColor="text1"/>
                <w:sz w:val="20"/>
                <w:szCs w:val="20"/>
              </w:rPr>
            </w:pPr>
          </w:p>
          <w:p w14:paraId="0FEF2F8C" w14:textId="77777777" w:rsidR="00C83C35" w:rsidRPr="005678F0" w:rsidRDefault="00C83C35" w:rsidP="001D2E0D">
            <w:pPr>
              <w:pStyle w:val="BasicParagraph"/>
              <w:suppressAutoHyphens/>
              <w:spacing w:line="240" w:lineRule="auto"/>
              <w:ind w:left="90" w:right="181"/>
              <w:rPr>
                <w:rFonts w:asciiTheme="majorHAnsi" w:hAnsiTheme="majorHAnsi" w:cs="Gotham Bold"/>
                <w:color w:val="041726" w:themeColor="text1"/>
                <w:sz w:val="20"/>
                <w:szCs w:val="20"/>
              </w:rPr>
            </w:pPr>
            <w:r w:rsidRPr="005678F0">
              <w:rPr>
                <w:rFonts w:asciiTheme="majorHAnsi" w:hAnsiTheme="majorHAnsi" w:cs="Gotham Bold"/>
                <w:color w:val="041726" w:themeColor="text1"/>
                <w:sz w:val="20"/>
                <w:szCs w:val="20"/>
              </w:rPr>
              <w:t>We must also work toward reducing the administrative complexities and streamlining the testing process—from obtaining results and connecting patients with genetic counselors to navigating insurance coverage. Testing, whether germline or somatic, should become a seamless and systematic part of our daily practice.</w:t>
            </w:r>
          </w:p>
          <w:p w14:paraId="65FFB8F1" w14:textId="77777777" w:rsidR="00C83C35" w:rsidRPr="005678F0" w:rsidRDefault="00C83C35" w:rsidP="001D2E0D">
            <w:pPr>
              <w:pStyle w:val="BasicParagraph"/>
              <w:suppressAutoHyphens/>
              <w:spacing w:line="240" w:lineRule="auto"/>
              <w:ind w:left="90" w:right="181"/>
              <w:rPr>
                <w:rFonts w:asciiTheme="majorHAnsi" w:hAnsiTheme="majorHAnsi" w:cs="Gotham Bold"/>
                <w:color w:val="041726" w:themeColor="text1"/>
                <w:sz w:val="20"/>
                <w:szCs w:val="20"/>
              </w:rPr>
            </w:pPr>
          </w:p>
          <w:p w14:paraId="6BBB83A4" w14:textId="29D4C2B4" w:rsidR="00C83C35" w:rsidRPr="005678F0" w:rsidRDefault="00C83C35" w:rsidP="0052503C">
            <w:pPr>
              <w:pStyle w:val="BasicParagraph"/>
              <w:suppressAutoHyphens/>
              <w:spacing w:line="240" w:lineRule="auto"/>
              <w:ind w:left="90" w:right="181"/>
              <w:rPr>
                <w:rFonts w:asciiTheme="majorHAnsi" w:hAnsiTheme="majorHAnsi" w:cs="Gotham Bold"/>
                <w:color w:val="041726" w:themeColor="text1"/>
                <w:sz w:val="20"/>
                <w:szCs w:val="20"/>
              </w:rPr>
            </w:pPr>
            <w:r w:rsidRPr="005678F0">
              <w:rPr>
                <w:rFonts w:asciiTheme="majorHAnsi" w:hAnsiTheme="majorHAnsi" w:cs="Gotham Bold"/>
                <w:color w:val="041726" w:themeColor="text1"/>
                <w:sz w:val="20"/>
                <w:szCs w:val="20"/>
              </w:rPr>
              <w:t xml:space="preserve">Our aim should be to maximize the effectiveness of PARP inhibition in prostate cancer by identifying every patient who could potentially benefit, ensuring no one is overlooked. Currently, LYNPARZA is only approved for </w:t>
            </w:r>
            <w:proofErr w:type="spellStart"/>
            <w:r w:rsidRPr="005678F0">
              <w:rPr>
                <w:rFonts w:asciiTheme="majorHAnsi" w:hAnsiTheme="majorHAnsi" w:cs="Gotham Bold"/>
                <w:color w:val="041726" w:themeColor="text1"/>
                <w:sz w:val="20"/>
                <w:szCs w:val="20"/>
              </w:rPr>
              <w:t>mCRPC</w:t>
            </w:r>
            <w:proofErr w:type="spellEnd"/>
            <w:r w:rsidRPr="005678F0">
              <w:rPr>
                <w:rFonts w:asciiTheme="majorHAnsi" w:hAnsiTheme="majorHAnsi" w:cs="Gotham Bold"/>
                <w:color w:val="041726" w:themeColor="text1"/>
                <w:sz w:val="20"/>
                <w:szCs w:val="20"/>
              </w:rPr>
              <w:t xml:space="preserve"> patients with specific mutations. </w:t>
            </w:r>
          </w:p>
          <w:p w14:paraId="13B61B93" w14:textId="77777777" w:rsidR="00C83C35" w:rsidRPr="005678F0" w:rsidRDefault="00C83C35" w:rsidP="001D2E0D">
            <w:pPr>
              <w:pStyle w:val="BasicParagraph"/>
              <w:suppressAutoHyphens/>
              <w:spacing w:line="240" w:lineRule="auto"/>
              <w:ind w:left="90" w:right="181"/>
              <w:rPr>
                <w:rFonts w:asciiTheme="majorHAnsi" w:hAnsiTheme="majorHAnsi" w:cs="Gotham Bold"/>
                <w:color w:val="041726" w:themeColor="text1"/>
                <w:sz w:val="20"/>
                <w:szCs w:val="20"/>
              </w:rPr>
            </w:pPr>
            <w:r w:rsidRPr="005678F0">
              <w:rPr>
                <w:rFonts w:asciiTheme="majorHAnsi" w:hAnsiTheme="majorHAnsi" w:cs="Gotham Bold"/>
                <w:color w:val="041726" w:themeColor="text1"/>
                <w:sz w:val="20"/>
                <w:szCs w:val="20"/>
              </w:rPr>
              <w:t>So, in the future, part of the focus should be to target DDR events and evaluate how we maximize their impact, whether it's with LYNPARZA or any PARP inhibitor or any other evolving agent.</w:t>
            </w:r>
          </w:p>
          <w:p w14:paraId="4C4C8695" w14:textId="77777777" w:rsidR="00C83C35" w:rsidRPr="005678F0" w:rsidRDefault="00C83C35" w:rsidP="001D2E0D">
            <w:pPr>
              <w:pStyle w:val="BasicParagraph"/>
              <w:suppressAutoHyphens/>
              <w:spacing w:line="240" w:lineRule="auto"/>
              <w:ind w:left="90" w:right="181"/>
              <w:rPr>
                <w:rFonts w:asciiTheme="majorHAnsi" w:hAnsiTheme="majorHAnsi" w:cs="Gotham Bold"/>
                <w:color w:val="041726" w:themeColor="text1"/>
                <w:sz w:val="20"/>
                <w:szCs w:val="20"/>
              </w:rPr>
            </w:pPr>
          </w:p>
          <w:p w14:paraId="278B2916" w14:textId="0F7CB859" w:rsidR="00C83C35" w:rsidRPr="005678F0" w:rsidRDefault="00C83C35" w:rsidP="001D2E0D">
            <w:pPr>
              <w:pStyle w:val="BasicParagraph"/>
              <w:suppressAutoHyphens/>
              <w:spacing w:line="240" w:lineRule="auto"/>
              <w:ind w:left="90" w:right="181"/>
              <w:rPr>
                <w:rFonts w:asciiTheme="majorHAnsi" w:hAnsiTheme="majorHAnsi" w:cs="Gotham Bold"/>
                <w:color w:val="041726" w:themeColor="text1"/>
                <w:sz w:val="20"/>
                <w:szCs w:val="20"/>
                <w:lang w:val="en-CA"/>
              </w:rPr>
            </w:pPr>
            <w:r w:rsidRPr="005678F0">
              <w:rPr>
                <w:rFonts w:asciiTheme="majorHAnsi" w:hAnsiTheme="majorHAnsi" w:cs="Gotham Bold"/>
                <w:color w:val="041726" w:themeColor="text1"/>
                <w:sz w:val="20"/>
                <w:szCs w:val="20"/>
                <w:lang w:val="en-CA"/>
              </w:rPr>
              <w:t>Another crucial focus should involve advancing precision medicine by delving into secondary DDR events. This extends beyond single gene mutations, potentially involving combinations or undiscovered factors. This pursuit urges us to intensify our efforts in identifying additional patients who could benefit from PARP therapy.</w:t>
            </w:r>
          </w:p>
        </w:tc>
      </w:tr>
      <w:tr w:rsidR="00C83C35" w:rsidRPr="005678F0" w14:paraId="3C85E566" w14:textId="77777777" w:rsidTr="0052503C">
        <w:trPr>
          <w:gridAfter w:val="2"/>
          <w:wAfter w:w="180" w:type="dxa"/>
          <w:cantSplit/>
          <w:trHeight w:val="317"/>
        </w:trPr>
        <w:tc>
          <w:tcPr>
            <w:tcW w:w="12870" w:type="dxa"/>
            <w:shd w:val="clear" w:color="auto" w:fill="829BAD" w:themeFill="background2"/>
          </w:tcPr>
          <w:p w14:paraId="0A457266" w14:textId="48DD19C5" w:rsidR="00C83C35" w:rsidRPr="005678F0" w:rsidRDefault="00C83C35" w:rsidP="000B27BD">
            <w:pPr>
              <w:pStyle w:val="BasicParagraph"/>
              <w:suppressAutoHyphens/>
              <w:spacing w:line="240" w:lineRule="auto"/>
              <w:ind w:left="90" w:right="181"/>
              <w:rPr>
                <w:rFonts w:ascii="Karla" w:hAnsi="Karla" w:cs="Karla"/>
                <w:b/>
                <w:bCs/>
                <w:color w:val="FFFFFF" w:themeColor="accent6"/>
                <w:sz w:val="20"/>
                <w:szCs w:val="20"/>
              </w:rPr>
            </w:pPr>
            <w:r w:rsidRPr="005678F0">
              <w:rPr>
                <w:rFonts w:ascii="Karla" w:hAnsi="Karla" w:cs="Karla"/>
                <w:b/>
                <w:bCs/>
                <w:color w:val="FFFFFF" w:themeColor="accent6"/>
                <w:sz w:val="20"/>
                <w:szCs w:val="20"/>
              </w:rPr>
              <w:t>Screen 8</w:t>
            </w:r>
          </w:p>
        </w:tc>
      </w:tr>
      <w:tr w:rsidR="00C83C35" w:rsidRPr="005678F0" w14:paraId="249D696A" w14:textId="77777777" w:rsidTr="0052503C">
        <w:trPr>
          <w:gridAfter w:val="2"/>
          <w:wAfter w:w="180" w:type="dxa"/>
          <w:cantSplit/>
          <w:trHeight w:val="317"/>
        </w:trPr>
        <w:tc>
          <w:tcPr>
            <w:tcW w:w="12870" w:type="dxa"/>
            <w:shd w:val="clear" w:color="auto" w:fill="auto"/>
          </w:tcPr>
          <w:p w14:paraId="5661DD9B" w14:textId="77777777" w:rsidR="00C83C35" w:rsidRDefault="00C83C35" w:rsidP="001D2E0D">
            <w:pPr>
              <w:pStyle w:val="BasicParagraph"/>
              <w:suppressAutoHyphens/>
              <w:spacing w:line="240" w:lineRule="auto"/>
              <w:ind w:left="90" w:right="181"/>
              <w:rPr>
                <w:rFonts w:asciiTheme="majorHAnsi" w:hAnsiTheme="majorHAnsi" w:cs="Gotham Bold"/>
                <w:color w:val="041726" w:themeColor="text1"/>
                <w:sz w:val="20"/>
                <w:szCs w:val="20"/>
                <w:lang w:val="en-CA"/>
              </w:rPr>
            </w:pPr>
            <w:r w:rsidRPr="005678F0">
              <w:rPr>
                <w:rFonts w:asciiTheme="majorHAnsi" w:hAnsiTheme="majorHAnsi" w:cs="Gotham Bold"/>
                <w:color w:val="041726" w:themeColor="text1"/>
                <w:sz w:val="20"/>
                <w:szCs w:val="20"/>
                <w:lang w:val="en-CA"/>
              </w:rPr>
              <w:t xml:space="preserve">I’ve had a </w:t>
            </w:r>
            <w:proofErr w:type="gramStart"/>
            <w:r w:rsidRPr="005678F0">
              <w:rPr>
                <w:rFonts w:asciiTheme="majorHAnsi" w:hAnsiTheme="majorHAnsi" w:cs="Gotham Bold"/>
                <w:color w:val="041726" w:themeColor="text1"/>
                <w:sz w:val="20"/>
                <w:szCs w:val="20"/>
                <w:lang w:val="en-CA"/>
              </w:rPr>
              <w:t>really positive</w:t>
            </w:r>
            <w:proofErr w:type="gramEnd"/>
            <w:r w:rsidRPr="005678F0">
              <w:rPr>
                <w:rFonts w:asciiTheme="majorHAnsi" w:hAnsiTheme="majorHAnsi" w:cs="Gotham Bold"/>
                <w:color w:val="041726" w:themeColor="text1"/>
                <w:sz w:val="20"/>
                <w:szCs w:val="20"/>
                <w:lang w:val="en-CA"/>
              </w:rPr>
              <w:t xml:space="preserve"> experience treating my eligible prostate cancer patients with LYNPARZA and I’m looking forward to helping more of my patients.</w:t>
            </w:r>
          </w:p>
          <w:p w14:paraId="4BBA4339" w14:textId="77777777" w:rsidR="0052503C" w:rsidRDefault="0052503C" w:rsidP="001D2E0D">
            <w:pPr>
              <w:pStyle w:val="BasicParagraph"/>
              <w:suppressAutoHyphens/>
              <w:spacing w:line="240" w:lineRule="auto"/>
              <w:ind w:left="90" w:right="181"/>
              <w:rPr>
                <w:rFonts w:asciiTheme="majorHAnsi" w:hAnsiTheme="majorHAnsi" w:cs="Gotham Bold"/>
                <w:color w:val="041726" w:themeColor="text1"/>
                <w:sz w:val="20"/>
                <w:szCs w:val="20"/>
                <w:lang w:val="en-CA"/>
              </w:rPr>
            </w:pPr>
          </w:p>
          <w:p w14:paraId="12D9AE07" w14:textId="77777777" w:rsidR="0052503C" w:rsidRDefault="0052503C" w:rsidP="001D2E0D">
            <w:pPr>
              <w:pStyle w:val="BasicParagraph"/>
              <w:suppressAutoHyphens/>
              <w:spacing w:line="240" w:lineRule="auto"/>
              <w:ind w:left="90" w:right="181"/>
              <w:rPr>
                <w:rFonts w:asciiTheme="majorHAnsi" w:hAnsiTheme="majorHAnsi" w:cs="Gotham Bold"/>
                <w:color w:val="041726" w:themeColor="text1"/>
                <w:sz w:val="20"/>
                <w:szCs w:val="20"/>
                <w:lang w:val="en-CA"/>
              </w:rPr>
            </w:pPr>
          </w:p>
          <w:p w14:paraId="4FEE7857" w14:textId="77777777" w:rsidR="0052503C" w:rsidRDefault="0052503C" w:rsidP="001D2E0D">
            <w:pPr>
              <w:pStyle w:val="BasicParagraph"/>
              <w:suppressAutoHyphens/>
              <w:spacing w:line="240" w:lineRule="auto"/>
              <w:ind w:left="90" w:right="181"/>
              <w:rPr>
                <w:rFonts w:asciiTheme="majorHAnsi" w:hAnsiTheme="majorHAnsi" w:cs="Gotham Bold"/>
                <w:color w:val="041726" w:themeColor="text1"/>
                <w:sz w:val="20"/>
                <w:szCs w:val="20"/>
                <w:lang w:val="en-CA"/>
              </w:rPr>
            </w:pPr>
          </w:p>
          <w:p w14:paraId="22AA05FF" w14:textId="77777777" w:rsidR="0052503C" w:rsidRDefault="0052503C" w:rsidP="001D2E0D">
            <w:pPr>
              <w:pStyle w:val="BasicParagraph"/>
              <w:suppressAutoHyphens/>
              <w:spacing w:line="240" w:lineRule="auto"/>
              <w:ind w:left="90" w:right="181"/>
              <w:rPr>
                <w:rFonts w:asciiTheme="majorHAnsi" w:hAnsiTheme="majorHAnsi" w:cs="Gotham Bold"/>
                <w:color w:val="041726" w:themeColor="text1"/>
                <w:sz w:val="20"/>
                <w:szCs w:val="20"/>
                <w:lang w:val="en-CA"/>
              </w:rPr>
            </w:pPr>
          </w:p>
          <w:p w14:paraId="04A32BE4" w14:textId="77777777" w:rsidR="0052503C" w:rsidRDefault="0052503C" w:rsidP="001D2E0D">
            <w:pPr>
              <w:pStyle w:val="BasicParagraph"/>
              <w:suppressAutoHyphens/>
              <w:spacing w:line="240" w:lineRule="auto"/>
              <w:ind w:left="90" w:right="181"/>
              <w:rPr>
                <w:rFonts w:asciiTheme="majorHAnsi" w:hAnsiTheme="majorHAnsi" w:cs="Gotham Bold"/>
                <w:color w:val="041726" w:themeColor="text1"/>
                <w:sz w:val="20"/>
                <w:szCs w:val="20"/>
                <w:lang w:val="en-CA"/>
              </w:rPr>
            </w:pPr>
          </w:p>
          <w:p w14:paraId="1F81AFED" w14:textId="77777777" w:rsidR="0052503C" w:rsidRDefault="0052503C" w:rsidP="001D2E0D">
            <w:pPr>
              <w:pStyle w:val="BasicParagraph"/>
              <w:suppressAutoHyphens/>
              <w:spacing w:line="240" w:lineRule="auto"/>
              <w:ind w:left="90" w:right="181"/>
              <w:rPr>
                <w:rFonts w:asciiTheme="majorHAnsi" w:hAnsiTheme="majorHAnsi" w:cs="Gotham Bold"/>
                <w:color w:val="041726" w:themeColor="text1"/>
                <w:sz w:val="20"/>
                <w:szCs w:val="20"/>
                <w:lang w:val="en-CA"/>
              </w:rPr>
            </w:pPr>
          </w:p>
          <w:p w14:paraId="303DCD6C" w14:textId="77777777" w:rsidR="0052503C" w:rsidRDefault="0052503C" w:rsidP="001D2E0D">
            <w:pPr>
              <w:pStyle w:val="BasicParagraph"/>
              <w:suppressAutoHyphens/>
              <w:spacing w:line="240" w:lineRule="auto"/>
              <w:ind w:left="90" w:right="181"/>
              <w:rPr>
                <w:rFonts w:asciiTheme="majorHAnsi" w:hAnsiTheme="majorHAnsi" w:cs="Gotham Bold"/>
                <w:color w:val="041726" w:themeColor="text1"/>
                <w:sz w:val="20"/>
                <w:szCs w:val="20"/>
                <w:lang w:val="en-CA"/>
              </w:rPr>
            </w:pPr>
          </w:p>
          <w:p w14:paraId="37274C35" w14:textId="77777777" w:rsidR="0052503C" w:rsidRDefault="0052503C" w:rsidP="001D2E0D">
            <w:pPr>
              <w:pStyle w:val="BasicParagraph"/>
              <w:suppressAutoHyphens/>
              <w:spacing w:line="240" w:lineRule="auto"/>
              <w:ind w:left="90" w:right="181"/>
              <w:rPr>
                <w:rFonts w:asciiTheme="majorHAnsi" w:hAnsiTheme="majorHAnsi" w:cs="Gotham Bold"/>
                <w:color w:val="041726" w:themeColor="text1"/>
                <w:sz w:val="20"/>
                <w:szCs w:val="20"/>
                <w:lang w:val="en-CA"/>
              </w:rPr>
            </w:pPr>
          </w:p>
          <w:p w14:paraId="08D72203" w14:textId="77777777" w:rsidR="0052503C" w:rsidRDefault="0052503C" w:rsidP="001D2E0D">
            <w:pPr>
              <w:pStyle w:val="BasicParagraph"/>
              <w:suppressAutoHyphens/>
              <w:spacing w:line="240" w:lineRule="auto"/>
              <w:ind w:left="90" w:right="181"/>
              <w:rPr>
                <w:rFonts w:asciiTheme="majorHAnsi" w:hAnsiTheme="majorHAnsi" w:cs="Gotham Bold"/>
                <w:color w:val="041726" w:themeColor="text1"/>
                <w:sz w:val="20"/>
                <w:szCs w:val="20"/>
                <w:lang w:val="en-CA"/>
              </w:rPr>
            </w:pPr>
          </w:p>
          <w:p w14:paraId="05DBC8FD" w14:textId="77777777" w:rsidR="0052503C" w:rsidRDefault="0052503C" w:rsidP="001D2E0D">
            <w:pPr>
              <w:pStyle w:val="BasicParagraph"/>
              <w:suppressAutoHyphens/>
              <w:spacing w:line="240" w:lineRule="auto"/>
              <w:ind w:left="90" w:right="181"/>
              <w:rPr>
                <w:rFonts w:asciiTheme="majorHAnsi" w:hAnsiTheme="majorHAnsi" w:cs="Gotham Bold"/>
                <w:color w:val="041726" w:themeColor="text1"/>
                <w:sz w:val="20"/>
                <w:szCs w:val="20"/>
                <w:lang w:val="en-CA"/>
              </w:rPr>
            </w:pPr>
          </w:p>
          <w:p w14:paraId="15242BB5" w14:textId="77777777" w:rsidR="0052503C" w:rsidRDefault="0052503C" w:rsidP="001D2E0D">
            <w:pPr>
              <w:pStyle w:val="BasicParagraph"/>
              <w:suppressAutoHyphens/>
              <w:spacing w:line="240" w:lineRule="auto"/>
              <w:ind w:left="90" w:right="181"/>
              <w:rPr>
                <w:rFonts w:asciiTheme="majorHAnsi" w:hAnsiTheme="majorHAnsi" w:cs="Gotham Bold"/>
                <w:color w:val="041726" w:themeColor="text1"/>
                <w:sz w:val="20"/>
                <w:szCs w:val="20"/>
                <w:lang w:val="en-CA"/>
              </w:rPr>
            </w:pPr>
          </w:p>
          <w:p w14:paraId="456E42CF" w14:textId="77777777" w:rsidR="0052503C" w:rsidRDefault="0052503C" w:rsidP="001D2E0D">
            <w:pPr>
              <w:pStyle w:val="BasicParagraph"/>
              <w:suppressAutoHyphens/>
              <w:spacing w:line="240" w:lineRule="auto"/>
              <w:ind w:left="90" w:right="181"/>
              <w:rPr>
                <w:rFonts w:asciiTheme="majorHAnsi" w:hAnsiTheme="majorHAnsi" w:cs="Gotham Bold"/>
                <w:color w:val="041726" w:themeColor="text1"/>
                <w:sz w:val="20"/>
                <w:szCs w:val="20"/>
                <w:lang w:val="en-CA"/>
              </w:rPr>
            </w:pPr>
          </w:p>
          <w:p w14:paraId="27FF084E" w14:textId="77777777" w:rsidR="0052503C" w:rsidRDefault="0052503C" w:rsidP="001D2E0D">
            <w:pPr>
              <w:pStyle w:val="BasicParagraph"/>
              <w:suppressAutoHyphens/>
              <w:spacing w:line="240" w:lineRule="auto"/>
              <w:ind w:left="90" w:right="181"/>
              <w:rPr>
                <w:rFonts w:asciiTheme="majorHAnsi" w:hAnsiTheme="majorHAnsi" w:cs="Gotham Bold"/>
                <w:color w:val="041726" w:themeColor="text1"/>
                <w:sz w:val="20"/>
                <w:szCs w:val="20"/>
                <w:lang w:val="en-CA"/>
              </w:rPr>
            </w:pPr>
          </w:p>
          <w:p w14:paraId="3A40F7D7" w14:textId="77777777" w:rsidR="0052503C" w:rsidRDefault="0052503C" w:rsidP="001D2E0D">
            <w:pPr>
              <w:pStyle w:val="BasicParagraph"/>
              <w:suppressAutoHyphens/>
              <w:spacing w:line="240" w:lineRule="auto"/>
              <w:ind w:left="90" w:right="181"/>
              <w:rPr>
                <w:rFonts w:asciiTheme="majorHAnsi" w:hAnsiTheme="majorHAnsi" w:cs="Gotham Bold"/>
                <w:color w:val="041726" w:themeColor="text1"/>
                <w:sz w:val="20"/>
                <w:szCs w:val="20"/>
                <w:lang w:val="en-CA"/>
              </w:rPr>
            </w:pPr>
          </w:p>
          <w:p w14:paraId="23A1DD8F" w14:textId="77777777" w:rsidR="0052503C" w:rsidRDefault="0052503C" w:rsidP="001D2E0D">
            <w:pPr>
              <w:pStyle w:val="BasicParagraph"/>
              <w:suppressAutoHyphens/>
              <w:spacing w:line="240" w:lineRule="auto"/>
              <w:ind w:left="90" w:right="181"/>
              <w:rPr>
                <w:rFonts w:asciiTheme="majorHAnsi" w:hAnsiTheme="majorHAnsi" w:cs="Gotham Bold"/>
                <w:color w:val="041726" w:themeColor="text1"/>
                <w:sz w:val="20"/>
                <w:szCs w:val="20"/>
                <w:lang w:val="en-CA"/>
              </w:rPr>
            </w:pPr>
          </w:p>
          <w:p w14:paraId="6799C762" w14:textId="77777777" w:rsidR="0052503C" w:rsidRDefault="0052503C" w:rsidP="001D2E0D">
            <w:pPr>
              <w:pStyle w:val="BasicParagraph"/>
              <w:suppressAutoHyphens/>
              <w:spacing w:line="240" w:lineRule="auto"/>
              <w:ind w:left="90" w:right="181"/>
              <w:rPr>
                <w:rFonts w:asciiTheme="majorHAnsi" w:hAnsiTheme="majorHAnsi" w:cs="Gotham Bold"/>
                <w:color w:val="041726" w:themeColor="text1"/>
                <w:sz w:val="20"/>
                <w:szCs w:val="20"/>
                <w:lang w:val="en-CA"/>
              </w:rPr>
            </w:pPr>
          </w:p>
          <w:p w14:paraId="67F68CDA" w14:textId="77777777" w:rsidR="0052503C" w:rsidRDefault="0052503C" w:rsidP="001D2E0D">
            <w:pPr>
              <w:pStyle w:val="BasicParagraph"/>
              <w:suppressAutoHyphens/>
              <w:spacing w:line="240" w:lineRule="auto"/>
              <w:ind w:left="90" w:right="181"/>
              <w:rPr>
                <w:rFonts w:asciiTheme="majorHAnsi" w:hAnsiTheme="majorHAnsi" w:cs="Gotham Bold"/>
                <w:color w:val="041726" w:themeColor="text1"/>
                <w:sz w:val="20"/>
                <w:szCs w:val="20"/>
                <w:lang w:val="en-CA"/>
              </w:rPr>
            </w:pPr>
          </w:p>
          <w:p w14:paraId="599E0167" w14:textId="77777777" w:rsidR="0052503C" w:rsidRDefault="0052503C" w:rsidP="001D2E0D">
            <w:pPr>
              <w:pStyle w:val="BasicParagraph"/>
              <w:suppressAutoHyphens/>
              <w:spacing w:line="240" w:lineRule="auto"/>
              <w:ind w:left="90" w:right="181"/>
              <w:rPr>
                <w:rFonts w:asciiTheme="majorHAnsi" w:hAnsiTheme="majorHAnsi" w:cs="Gotham Bold"/>
                <w:color w:val="041726" w:themeColor="text1"/>
                <w:sz w:val="20"/>
                <w:szCs w:val="20"/>
                <w:lang w:val="en-CA"/>
              </w:rPr>
            </w:pPr>
          </w:p>
          <w:p w14:paraId="69DC8533" w14:textId="77777777" w:rsidR="0052503C" w:rsidRDefault="0052503C" w:rsidP="001D2E0D">
            <w:pPr>
              <w:pStyle w:val="BasicParagraph"/>
              <w:suppressAutoHyphens/>
              <w:spacing w:line="240" w:lineRule="auto"/>
              <w:ind w:left="90" w:right="181"/>
              <w:rPr>
                <w:rFonts w:asciiTheme="majorHAnsi" w:hAnsiTheme="majorHAnsi" w:cs="Gotham Bold"/>
                <w:color w:val="041726" w:themeColor="text1"/>
                <w:sz w:val="20"/>
                <w:szCs w:val="20"/>
                <w:lang w:val="en-CA"/>
              </w:rPr>
            </w:pPr>
          </w:p>
          <w:p w14:paraId="252E4875" w14:textId="77777777" w:rsidR="0052503C" w:rsidRDefault="0052503C" w:rsidP="001D2E0D">
            <w:pPr>
              <w:pStyle w:val="BasicParagraph"/>
              <w:suppressAutoHyphens/>
              <w:spacing w:line="240" w:lineRule="auto"/>
              <w:ind w:left="90" w:right="181"/>
              <w:rPr>
                <w:rFonts w:asciiTheme="majorHAnsi" w:hAnsiTheme="majorHAnsi" w:cs="Gotham Bold"/>
                <w:color w:val="041726" w:themeColor="text1"/>
                <w:sz w:val="20"/>
                <w:szCs w:val="20"/>
                <w:lang w:val="en-CA"/>
              </w:rPr>
            </w:pPr>
          </w:p>
          <w:p w14:paraId="0AA7353C" w14:textId="77777777" w:rsidR="0052503C" w:rsidRDefault="0052503C" w:rsidP="001D2E0D">
            <w:pPr>
              <w:pStyle w:val="BasicParagraph"/>
              <w:suppressAutoHyphens/>
              <w:spacing w:line="240" w:lineRule="auto"/>
              <w:ind w:left="90" w:right="181"/>
              <w:rPr>
                <w:rFonts w:asciiTheme="majorHAnsi" w:hAnsiTheme="majorHAnsi" w:cs="Gotham Bold"/>
                <w:color w:val="041726" w:themeColor="text1"/>
                <w:sz w:val="20"/>
                <w:szCs w:val="20"/>
                <w:lang w:val="en-CA"/>
              </w:rPr>
            </w:pPr>
          </w:p>
          <w:p w14:paraId="2758C79B" w14:textId="6E032E3A" w:rsidR="0052503C" w:rsidRPr="005678F0" w:rsidRDefault="0052503C" w:rsidP="0052503C">
            <w:pPr>
              <w:pStyle w:val="BasicParagraph"/>
              <w:suppressAutoHyphens/>
              <w:spacing w:line="240" w:lineRule="auto"/>
              <w:ind w:right="181"/>
              <w:rPr>
                <w:rFonts w:ascii="Karla" w:hAnsi="Karla" w:cs="Karla"/>
                <w:b/>
                <w:bCs/>
                <w:color w:val="FFFFFF" w:themeColor="accent6"/>
                <w:sz w:val="20"/>
                <w:szCs w:val="20"/>
              </w:rPr>
            </w:pPr>
          </w:p>
        </w:tc>
      </w:tr>
      <w:tr w:rsidR="00C83C35" w:rsidRPr="005678F0" w14:paraId="5F5D0424" w14:textId="77777777" w:rsidTr="0052503C">
        <w:trPr>
          <w:gridAfter w:val="1"/>
          <w:wAfter w:w="90" w:type="dxa"/>
          <w:cantSplit/>
          <w:trHeight w:val="317"/>
        </w:trPr>
        <w:tc>
          <w:tcPr>
            <w:tcW w:w="12960" w:type="dxa"/>
            <w:gridSpan w:val="2"/>
            <w:shd w:val="clear" w:color="auto" w:fill="auto"/>
          </w:tcPr>
          <w:p w14:paraId="5B74154D" w14:textId="77777777" w:rsidR="0052503C" w:rsidRPr="005678F0" w:rsidRDefault="0052503C" w:rsidP="0052503C">
            <w:pPr>
              <w:spacing w:after="0" w:line="240" w:lineRule="auto"/>
              <w:rPr>
                <w:rFonts w:ascii="Arial" w:hAnsi="Arial" w:cs="Arial"/>
                <w:b/>
                <w:bCs/>
                <w:sz w:val="24"/>
                <w:szCs w:val="24"/>
              </w:rPr>
            </w:pPr>
            <w:r w:rsidRPr="005678F0">
              <w:rPr>
                <w:rFonts w:ascii="Arial" w:hAnsi="Arial" w:cs="Arial"/>
                <w:b/>
                <w:bCs/>
                <w:sz w:val="24"/>
                <w:szCs w:val="24"/>
              </w:rPr>
              <w:lastRenderedPageBreak/>
              <w:t>Important Safety Information</w:t>
            </w:r>
          </w:p>
          <w:p w14:paraId="0F620FE8" w14:textId="77777777" w:rsidR="0052503C" w:rsidRPr="005678F0" w:rsidRDefault="0052503C" w:rsidP="0052503C">
            <w:pPr>
              <w:spacing w:after="0" w:line="240" w:lineRule="auto"/>
              <w:rPr>
                <w:rFonts w:ascii="Arial" w:hAnsi="Arial" w:cs="Arial"/>
                <w:b/>
                <w:bCs/>
                <w:sz w:val="24"/>
                <w:szCs w:val="24"/>
              </w:rPr>
            </w:pPr>
          </w:p>
          <w:p w14:paraId="4008DE18" w14:textId="77777777" w:rsidR="0052503C" w:rsidRPr="005678F0" w:rsidRDefault="0052503C" w:rsidP="0052503C">
            <w:pPr>
              <w:spacing w:after="0" w:line="240" w:lineRule="auto"/>
              <w:rPr>
                <w:rFonts w:ascii="Arial" w:hAnsi="Arial" w:cs="Arial"/>
                <w:b/>
                <w:bCs/>
                <w:sz w:val="21"/>
                <w:szCs w:val="21"/>
              </w:rPr>
            </w:pPr>
            <w:r w:rsidRPr="005678F0">
              <w:rPr>
                <w:rFonts w:ascii="Arial" w:hAnsi="Arial" w:cs="Arial"/>
                <w:b/>
                <w:bCs/>
                <w:sz w:val="21"/>
                <w:szCs w:val="21"/>
              </w:rPr>
              <w:t>CONTRAINDICATIONS</w:t>
            </w:r>
          </w:p>
          <w:p w14:paraId="2F3D1C01" w14:textId="77777777" w:rsidR="0052503C" w:rsidRPr="005678F0" w:rsidRDefault="0052503C" w:rsidP="0052503C">
            <w:pPr>
              <w:spacing w:after="0" w:line="240" w:lineRule="auto"/>
              <w:rPr>
                <w:rFonts w:ascii="Arial" w:hAnsi="Arial" w:cs="Arial"/>
                <w:sz w:val="21"/>
                <w:szCs w:val="21"/>
              </w:rPr>
            </w:pPr>
            <w:r w:rsidRPr="005678F0">
              <w:rPr>
                <w:rFonts w:ascii="Arial" w:hAnsi="Arial" w:cs="Arial"/>
                <w:sz w:val="21"/>
                <w:szCs w:val="21"/>
              </w:rPr>
              <w:t>There are no contraindications for LYNPARZA.</w:t>
            </w:r>
          </w:p>
          <w:p w14:paraId="566831AC" w14:textId="77777777" w:rsidR="0052503C" w:rsidRPr="005678F0" w:rsidRDefault="0052503C" w:rsidP="0052503C">
            <w:pPr>
              <w:spacing w:after="0" w:line="240" w:lineRule="auto"/>
              <w:rPr>
                <w:rFonts w:ascii="Arial" w:hAnsi="Arial" w:cs="Arial"/>
                <w:sz w:val="21"/>
                <w:szCs w:val="21"/>
              </w:rPr>
            </w:pPr>
          </w:p>
          <w:p w14:paraId="76466F1E" w14:textId="77777777" w:rsidR="0052503C" w:rsidRPr="005678F0" w:rsidRDefault="0052503C" w:rsidP="0052503C">
            <w:pPr>
              <w:spacing w:after="0" w:line="240" w:lineRule="auto"/>
              <w:rPr>
                <w:rFonts w:ascii="Arial" w:hAnsi="Arial" w:cs="Arial"/>
                <w:b/>
                <w:bCs/>
                <w:sz w:val="21"/>
                <w:szCs w:val="21"/>
              </w:rPr>
            </w:pPr>
            <w:r w:rsidRPr="005678F0">
              <w:rPr>
                <w:rFonts w:ascii="Arial" w:hAnsi="Arial" w:cs="Arial"/>
                <w:b/>
                <w:bCs/>
                <w:sz w:val="21"/>
                <w:szCs w:val="21"/>
              </w:rPr>
              <w:t>WARNINGS AND PRECAUTIONS </w:t>
            </w:r>
          </w:p>
          <w:p w14:paraId="0721D7B9" w14:textId="77777777" w:rsidR="0052503C" w:rsidRPr="005678F0" w:rsidRDefault="0052503C" w:rsidP="0052503C">
            <w:pPr>
              <w:spacing w:after="0" w:line="240" w:lineRule="auto"/>
              <w:rPr>
                <w:rFonts w:ascii="Arial" w:hAnsi="Arial" w:cs="Arial"/>
                <w:sz w:val="21"/>
                <w:szCs w:val="21"/>
              </w:rPr>
            </w:pPr>
            <w:r w:rsidRPr="005678F0">
              <w:rPr>
                <w:rFonts w:ascii="Arial" w:hAnsi="Arial" w:cs="Arial"/>
                <w:b/>
                <w:bCs/>
                <w:sz w:val="21"/>
                <w:szCs w:val="21"/>
              </w:rPr>
              <w:t>Myelodysplastic Syndrome/Acute Myeloid Leukemia (MDS/AML):</w:t>
            </w:r>
            <w:r w:rsidRPr="005678F0">
              <w:rPr>
                <w:rFonts w:ascii="Arial" w:hAnsi="Arial" w:cs="Arial"/>
                <w:sz w:val="21"/>
                <w:szCs w:val="21"/>
              </w:rPr>
              <w:t xml:space="preserve"> Occurred in approximately 1.2% of patients with various </w:t>
            </w:r>
            <w:proofErr w:type="spellStart"/>
            <w:r w:rsidRPr="005678F0">
              <w:rPr>
                <w:rFonts w:ascii="Arial" w:hAnsi="Arial" w:cs="Arial"/>
                <w:i/>
                <w:iCs/>
                <w:sz w:val="21"/>
                <w:szCs w:val="21"/>
              </w:rPr>
              <w:t>BRCA</w:t>
            </w:r>
            <w:r w:rsidRPr="005678F0">
              <w:rPr>
                <w:rFonts w:ascii="Arial" w:hAnsi="Arial" w:cs="Arial"/>
                <w:sz w:val="21"/>
                <w:szCs w:val="21"/>
              </w:rPr>
              <w:t>m</w:t>
            </w:r>
            <w:proofErr w:type="spellEnd"/>
            <w:r w:rsidRPr="005678F0">
              <w:rPr>
                <w:rFonts w:ascii="Arial" w:hAnsi="Arial" w:cs="Arial"/>
                <w:sz w:val="21"/>
                <w:szCs w:val="21"/>
              </w:rPr>
              <w:t xml:space="preserve">, </w:t>
            </w:r>
            <w:proofErr w:type="spellStart"/>
            <w:r w:rsidRPr="005678F0">
              <w:rPr>
                <w:rFonts w:ascii="Arial" w:hAnsi="Arial" w:cs="Arial"/>
                <w:sz w:val="21"/>
                <w:szCs w:val="21"/>
              </w:rPr>
              <w:t>g</w:t>
            </w:r>
            <w:r w:rsidRPr="005678F0">
              <w:rPr>
                <w:rFonts w:ascii="Arial" w:hAnsi="Arial" w:cs="Arial"/>
                <w:i/>
                <w:iCs/>
                <w:sz w:val="21"/>
                <w:szCs w:val="21"/>
              </w:rPr>
              <w:t>BRCA</w:t>
            </w:r>
            <w:r w:rsidRPr="005678F0">
              <w:rPr>
                <w:rFonts w:ascii="Arial" w:hAnsi="Arial" w:cs="Arial"/>
                <w:sz w:val="21"/>
                <w:szCs w:val="21"/>
              </w:rPr>
              <w:t>m</w:t>
            </w:r>
            <w:proofErr w:type="spellEnd"/>
            <w:r w:rsidRPr="005678F0">
              <w:rPr>
                <w:rFonts w:ascii="Arial" w:hAnsi="Arial" w:cs="Arial"/>
                <w:sz w:val="21"/>
                <w:szCs w:val="21"/>
              </w:rPr>
              <w:t xml:space="preserve">, HRR gene-mutated or HRD-positive </w:t>
            </w:r>
            <w:proofErr w:type="gramStart"/>
            <w:r w:rsidRPr="005678F0">
              <w:rPr>
                <w:rFonts w:ascii="Arial" w:hAnsi="Arial" w:cs="Arial"/>
                <w:sz w:val="21"/>
                <w:szCs w:val="21"/>
              </w:rPr>
              <w:t>cancers  who</w:t>
            </w:r>
            <w:proofErr w:type="gramEnd"/>
            <w:r w:rsidRPr="005678F0">
              <w:rPr>
                <w:rFonts w:ascii="Arial" w:hAnsi="Arial" w:cs="Arial"/>
                <w:sz w:val="21"/>
                <w:szCs w:val="21"/>
              </w:rPr>
              <w:t xml:space="preserve"> received LYNPARZA  as a single agent or as part of a combination regimen, consistent with the approved indications, and the majority of events had a fatal outcome. The median duration of therapy in patients who developed MDS/AML was approximately 2 years (range: &lt;6 months to &gt;</w:t>
            </w:r>
            <w:proofErr w:type="gramStart"/>
            <w:r w:rsidRPr="005678F0">
              <w:rPr>
                <w:rFonts w:ascii="Arial" w:hAnsi="Arial" w:cs="Arial"/>
                <w:sz w:val="21"/>
                <w:szCs w:val="21"/>
              </w:rPr>
              <w:t>4  years</w:t>
            </w:r>
            <w:proofErr w:type="gramEnd"/>
            <w:r w:rsidRPr="005678F0">
              <w:rPr>
                <w:rFonts w:ascii="Arial" w:hAnsi="Arial" w:cs="Arial"/>
                <w:sz w:val="21"/>
                <w:szCs w:val="21"/>
              </w:rPr>
              <w:t xml:space="preserve">). </w:t>
            </w:r>
            <w:proofErr w:type="gramStart"/>
            <w:r w:rsidRPr="005678F0">
              <w:rPr>
                <w:rFonts w:ascii="Arial" w:hAnsi="Arial" w:cs="Arial"/>
                <w:sz w:val="21"/>
                <w:szCs w:val="21"/>
              </w:rPr>
              <w:t>All of</w:t>
            </w:r>
            <w:proofErr w:type="gramEnd"/>
            <w:r w:rsidRPr="005678F0">
              <w:rPr>
                <w:rFonts w:ascii="Arial" w:hAnsi="Arial" w:cs="Arial"/>
                <w:sz w:val="21"/>
                <w:szCs w:val="21"/>
              </w:rPr>
              <w:t xml:space="preserve"> these patients had previous chemotherapy with platinum agents and/or other DNA-damaging agents, including radiotherapy.</w:t>
            </w:r>
          </w:p>
          <w:p w14:paraId="385D9792" w14:textId="77777777" w:rsidR="0052503C" w:rsidRPr="005678F0" w:rsidRDefault="0052503C" w:rsidP="0052503C">
            <w:pPr>
              <w:spacing w:after="0" w:line="240" w:lineRule="auto"/>
              <w:rPr>
                <w:rFonts w:ascii="Arial" w:hAnsi="Arial" w:cs="Arial"/>
                <w:sz w:val="21"/>
                <w:szCs w:val="21"/>
              </w:rPr>
            </w:pPr>
          </w:p>
          <w:p w14:paraId="798C7AD3" w14:textId="77777777" w:rsidR="0052503C" w:rsidRPr="005678F0" w:rsidRDefault="0052503C" w:rsidP="0052503C">
            <w:pPr>
              <w:spacing w:after="0" w:line="240" w:lineRule="auto"/>
              <w:rPr>
                <w:rFonts w:ascii="Arial" w:hAnsi="Arial" w:cs="Arial"/>
                <w:sz w:val="21"/>
                <w:szCs w:val="21"/>
              </w:rPr>
            </w:pPr>
            <w:r w:rsidRPr="005678F0">
              <w:rPr>
                <w:rFonts w:ascii="Arial" w:hAnsi="Arial" w:cs="Arial"/>
                <w:sz w:val="21"/>
                <w:szCs w:val="21"/>
              </w:rPr>
              <w:t>Do not start LYNPARZA until patients have recovered from hematological toxicity caused by previous chemotherapy (≤Grade 1). Monitor complete blood count for cytopenia at baseline and monthly thereafter for clinically significant changes during treatment. For prolonged hematological toxicities, interrupt LYNPARZA and monitor blood count weekly until recovery.</w:t>
            </w:r>
          </w:p>
          <w:p w14:paraId="1D50F919" w14:textId="77777777" w:rsidR="0052503C" w:rsidRPr="005678F0" w:rsidRDefault="0052503C" w:rsidP="0052503C">
            <w:pPr>
              <w:spacing w:after="0" w:line="240" w:lineRule="auto"/>
              <w:rPr>
                <w:rFonts w:ascii="Arial" w:hAnsi="Arial" w:cs="Arial"/>
                <w:sz w:val="21"/>
                <w:szCs w:val="21"/>
              </w:rPr>
            </w:pPr>
          </w:p>
          <w:p w14:paraId="46710514" w14:textId="77777777" w:rsidR="0052503C" w:rsidRPr="005678F0" w:rsidRDefault="0052503C" w:rsidP="0052503C">
            <w:pPr>
              <w:spacing w:after="0" w:line="240" w:lineRule="auto"/>
              <w:rPr>
                <w:rFonts w:ascii="Arial" w:hAnsi="Arial" w:cs="Arial"/>
                <w:sz w:val="21"/>
                <w:szCs w:val="21"/>
              </w:rPr>
            </w:pPr>
            <w:r w:rsidRPr="005678F0">
              <w:rPr>
                <w:rFonts w:ascii="Arial" w:hAnsi="Arial" w:cs="Arial"/>
                <w:sz w:val="21"/>
                <w:szCs w:val="21"/>
              </w:rPr>
              <w:t>If the levels have not recovered to Grade 1 or less after 4 weeks, refer the patient to a hematologist for further investigations, including bone marrow analysis and blood sample for cytogenetics. Discontinue LYNPARZA if MDS/AML is confirmed.</w:t>
            </w:r>
          </w:p>
          <w:p w14:paraId="78DCB7AA" w14:textId="77777777" w:rsidR="0052503C" w:rsidRPr="005678F0" w:rsidRDefault="0052503C" w:rsidP="0052503C">
            <w:pPr>
              <w:spacing w:after="0" w:line="240" w:lineRule="auto"/>
              <w:rPr>
                <w:rFonts w:ascii="Arial" w:hAnsi="Arial" w:cs="Arial"/>
                <w:sz w:val="21"/>
                <w:szCs w:val="21"/>
              </w:rPr>
            </w:pPr>
          </w:p>
          <w:p w14:paraId="467EE813" w14:textId="77777777" w:rsidR="0052503C" w:rsidRPr="005678F0" w:rsidRDefault="0052503C" w:rsidP="0052503C">
            <w:pPr>
              <w:spacing w:after="0" w:line="240" w:lineRule="auto"/>
              <w:rPr>
                <w:rFonts w:ascii="Arial" w:hAnsi="Arial" w:cs="Arial"/>
                <w:sz w:val="21"/>
                <w:szCs w:val="21"/>
              </w:rPr>
            </w:pPr>
            <w:r w:rsidRPr="005678F0">
              <w:rPr>
                <w:rFonts w:ascii="Arial" w:hAnsi="Arial" w:cs="Arial"/>
                <w:b/>
                <w:bCs/>
                <w:sz w:val="21"/>
                <w:szCs w:val="21"/>
              </w:rPr>
              <w:t>Pneumonitis:</w:t>
            </w:r>
            <w:r w:rsidRPr="005678F0">
              <w:rPr>
                <w:rFonts w:ascii="Arial" w:hAnsi="Arial" w:cs="Arial"/>
                <w:sz w:val="21"/>
                <w:szCs w:val="21"/>
              </w:rPr>
              <w:t xml:space="preserve"> Occurred in 0.8% of patients exposed to LYNPARZA monotherapy, and some cases were fatal. If patients present with new or worsening respiratory symptoms such as dyspnea, cough, and fever, or a radiological abnormality occurs, interrupt LYNPARZA treatment and initiate prompt investigation. Discontinue LYNPARZA if pneumonitis is confirmed and treat patient appropriately.</w:t>
            </w:r>
          </w:p>
          <w:p w14:paraId="0D99E95D" w14:textId="77777777" w:rsidR="0052503C" w:rsidRPr="005678F0" w:rsidRDefault="0052503C" w:rsidP="0052503C">
            <w:pPr>
              <w:spacing w:after="0" w:line="240" w:lineRule="auto"/>
              <w:rPr>
                <w:rFonts w:ascii="Arial" w:hAnsi="Arial" w:cs="Arial"/>
                <w:sz w:val="21"/>
                <w:szCs w:val="21"/>
              </w:rPr>
            </w:pPr>
          </w:p>
          <w:p w14:paraId="649A3AB2" w14:textId="77777777" w:rsidR="0052503C" w:rsidRPr="005678F0" w:rsidRDefault="0052503C" w:rsidP="0052503C">
            <w:pPr>
              <w:spacing w:after="0" w:line="240" w:lineRule="auto"/>
              <w:rPr>
                <w:rFonts w:ascii="Arial" w:hAnsi="Arial" w:cs="Arial"/>
                <w:sz w:val="21"/>
                <w:szCs w:val="21"/>
              </w:rPr>
            </w:pPr>
            <w:r w:rsidRPr="005678F0">
              <w:rPr>
                <w:rFonts w:ascii="Arial" w:hAnsi="Arial" w:cs="Arial"/>
                <w:b/>
                <w:bCs/>
                <w:sz w:val="21"/>
                <w:szCs w:val="21"/>
              </w:rPr>
              <w:t>Venous Thromboembolism (VTE):</w:t>
            </w:r>
            <w:r w:rsidRPr="005678F0">
              <w:rPr>
                <w:rFonts w:ascii="Arial" w:hAnsi="Arial" w:cs="Arial"/>
                <w:sz w:val="21"/>
                <w:szCs w:val="21"/>
              </w:rPr>
              <w:t xml:space="preserve"> Including severe or fatal pulmonary embolism (PE) occurred in patients treated with LYNPARZA. In the combined data of two randomized, placebo-controlled clinical studies (</w:t>
            </w:r>
            <w:proofErr w:type="spellStart"/>
            <w:r w:rsidRPr="005678F0">
              <w:rPr>
                <w:rFonts w:ascii="Arial" w:hAnsi="Arial" w:cs="Arial"/>
                <w:sz w:val="21"/>
                <w:szCs w:val="21"/>
              </w:rPr>
              <w:t>PROfound</w:t>
            </w:r>
            <w:proofErr w:type="spellEnd"/>
            <w:r w:rsidRPr="005678F0">
              <w:rPr>
                <w:rFonts w:ascii="Arial" w:hAnsi="Arial" w:cs="Arial"/>
                <w:sz w:val="21"/>
                <w:szCs w:val="21"/>
              </w:rPr>
              <w:t xml:space="preserve"> and </w:t>
            </w:r>
            <w:proofErr w:type="spellStart"/>
            <w:r w:rsidRPr="005678F0">
              <w:rPr>
                <w:rFonts w:ascii="Arial" w:hAnsi="Arial" w:cs="Arial"/>
                <w:sz w:val="21"/>
                <w:szCs w:val="21"/>
              </w:rPr>
              <w:t>PROpel</w:t>
            </w:r>
            <w:proofErr w:type="spellEnd"/>
            <w:r w:rsidRPr="005678F0">
              <w:rPr>
                <w:rFonts w:ascii="Arial" w:hAnsi="Arial" w:cs="Arial"/>
                <w:sz w:val="21"/>
                <w:szCs w:val="21"/>
              </w:rPr>
              <w:t>) in patients with metastatic castration-resistant prostate cancer (N=1180), VTE occurred in 8% of patients who received LYNPARZA, including pulmonary embolism in 6%. In the control arms, VTE occurred in 2.5%, including pulmonary embolism in 1.5%.  Monitor patients for signs and symptoms of venous thrombosis and pulmonary embolism, and treat as medically appropriate, which may include long-term anticoagulation as clinically indicated.</w:t>
            </w:r>
          </w:p>
          <w:p w14:paraId="0BCABB6C" w14:textId="77777777" w:rsidR="0052503C" w:rsidRPr="005678F0" w:rsidRDefault="0052503C" w:rsidP="0052503C">
            <w:pPr>
              <w:spacing w:after="0" w:line="240" w:lineRule="auto"/>
              <w:rPr>
                <w:rFonts w:ascii="Arial" w:hAnsi="Arial" w:cs="Arial"/>
                <w:sz w:val="21"/>
                <w:szCs w:val="21"/>
              </w:rPr>
            </w:pPr>
          </w:p>
          <w:p w14:paraId="7B84E244" w14:textId="77777777" w:rsidR="0052503C" w:rsidRPr="005678F0" w:rsidRDefault="0052503C" w:rsidP="0052503C">
            <w:pPr>
              <w:spacing w:after="0" w:line="240" w:lineRule="auto"/>
              <w:rPr>
                <w:rFonts w:ascii="Arial" w:hAnsi="Arial" w:cs="Arial"/>
                <w:sz w:val="21"/>
                <w:szCs w:val="21"/>
              </w:rPr>
            </w:pPr>
            <w:r w:rsidRPr="005678F0">
              <w:rPr>
                <w:rFonts w:ascii="Arial" w:hAnsi="Arial" w:cs="Arial"/>
                <w:b/>
                <w:bCs/>
                <w:sz w:val="21"/>
                <w:szCs w:val="21"/>
              </w:rPr>
              <w:t xml:space="preserve">Embryo-Fetal Toxicity: </w:t>
            </w:r>
            <w:r w:rsidRPr="005678F0">
              <w:rPr>
                <w:rFonts w:ascii="Arial" w:hAnsi="Arial" w:cs="Arial"/>
                <w:sz w:val="21"/>
                <w:szCs w:val="21"/>
              </w:rPr>
              <w:t xml:space="preserve">Based on its mechanism of action and findings in animals, LYNPARZA can cause fetal harm. Verify pregnancy status in females of reproductive potential prior to initiating treatment. </w:t>
            </w:r>
          </w:p>
          <w:p w14:paraId="33E94836" w14:textId="77777777" w:rsidR="0052503C" w:rsidRPr="005678F0" w:rsidRDefault="0052503C" w:rsidP="0052503C">
            <w:pPr>
              <w:spacing w:after="0" w:line="240" w:lineRule="auto"/>
              <w:rPr>
                <w:rFonts w:ascii="Arial" w:hAnsi="Arial" w:cs="Arial"/>
                <w:sz w:val="21"/>
                <w:szCs w:val="21"/>
              </w:rPr>
            </w:pPr>
          </w:p>
          <w:p w14:paraId="1783FCB0" w14:textId="77777777" w:rsidR="0052503C" w:rsidRPr="005678F0" w:rsidRDefault="0052503C" w:rsidP="0052503C">
            <w:pPr>
              <w:spacing w:after="0" w:line="240" w:lineRule="auto"/>
              <w:rPr>
                <w:rFonts w:ascii="Arial" w:hAnsi="Arial" w:cs="Arial"/>
                <w:sz w:val="21"/>
                <w:szCs w:val="21"/>
              </w:rPr>
            </w:pPr>
            <w:r w:rsidRPr="005678F0">
              <w:rPr>
                <w:rFonts w:ascii="Arial" w:hAnsi="Arial" w:cs="Arial"/>
                <w:i/>
                <w:iCs/>
                <w:sz w:val="21"/>
                <w:szCs w:val="21"/>
              </w:rPr>
              <w:t>Females</w:t>
            </w:r>
            <w:r w:rsidRPr="005678F0">
              <w:rPr>
                <w:rFonts w:ascii="Arial" w:hAnsi="Arial" w:cs="Arial"/>
                <w:sz w:val="21"/>
                <w:szCs w:val="21"/>
              </w:rPr>
              <w:br/>
              <w:t>Advise females of reproductive potential of the potential risk to a fetus and to use effective contraception during treatment and for 6 months following the last dose.</w:t>
            </w:r>
          </w:p>
          <w:p w14:paraId="3D81A0D6" w14:textId="77777777" w:rsidR="0052503C" w:rsidRPr="005678F0" w:rsidRDefault="0052503C" w:rsidP="0052503C">
            <w:pPr>
              <w:spacing w:after="0" w:line="240" w:lineRule="auto"/>
              <w:rPr>
                <w:rFonts w:ascii="Arial" w:hAnsi="Arial" w:cs="Arial"/>
                <w:sz w:val="21"/>
                <w:szCs w:val="21"/>
              </w:rPr>
            </w:pPr>
          </w:p>
          <w:p w14:paraId="310414B9" w14:textId="77777777" w:rsidR="0052503C" w:rsidRPr="005678F0" w:rsidRDefault="0052503C" w:rsidP="0052503C">
            <w:pPr>
              <w:spacing w:after="0" w:line="240" w:lineRule="auto"/>
              <w:rPr>
                <w:rFonts w:ascii="Arial" w:hAnsi="Arial" w:cs="Arial"/>
                <w:sz w:val="21"/>
                <w:szCs w:val="21"/>
              </w:rPr>
            </w:pPr>
            <w:r w:rsidRPr="005678F0">
              <w:rPr>
                <w:rFonts w:ascii="Arial" w:hAnsi="Arial" w:cs="Arial"/>
                <w:i/>
                <w:iCs/>
                <w:sz w:val="21"/>
                <w:szCs w:val="21"/>
              </w:rPr>
              <w:t>Males</w:t>
            </w:r>
            <w:r w:rsidRPr="005678F0">
              <w:rPr>
                <w:rFonts w:ascii="Arial" w:hAnsi="Arial" w:cs="Arial"/>
                <w:sz w:val="21"/>
                <w:szCs w:val="21"/>
              </w:rPr>
              <w:t> </w:t>
            </w:r>
            <w:r w:rsidRPr="005678F0">
              <w:rPr>
                <w:rFonts w:ascii="Arial" w:hAnsi="Arial" w:cs="Arial"/>
                <w:sz w:val="21"/>
                <w:szCs w:val="21"/>
              </w:rPr>
              <w:br/>
              <w:t>Advise male patients with female partners of reproductive potential or who are pregnant to use effective contraception during treatment and for 3 months following the last dose of LYNPARZA and to not donate sperm during this time.</w:t>
            </w:r>
          </w:p>
          <w:p w14:paraId="049BD507" w14:textId="77777777" w:rsidR="0052503C" w:rsidRPr="005678F0" w:rsidRDefault="0052503C" w:rsidP="0052503C">
            <w:pPr>
              <w:spacing w:after="0" w:line="240" w:lineRule="auto"/>
              <w:rPr>
                <w:rFonts w:ascii="Arial" w:hAnsi="Arial" w:cs="Arial"/>
                <w:sz w:val="21"/>
                <w:szCs w:val="21"/>
              </w:rPr>
            </w:pPr>
          </w:p>
          <w:p w14:paraId="69481C85" w14:textId="77777777" w:rsidR="0052503C" w:rsidRPr="005678F0" w:rsidRDefault="0052503C" w:rsidP="0052503C">
            <w:pPr>
              <w:spacing w:after="0" w:line="240" w:lineRule="auto"/>
              <w:rPr>
                <w:rFonts w:ascii="Arial" w:hAnsi="Arial" w:cs="Arial"/>
                <w:b/>
                <w:bCs/>
                <w:sz w:val="21"/>
                <w:szCs w:val="21"/>
              </w:rPr>
            </w:pPr>
            <w:r w:rsidRPr="005678F0">
              <w:rPr>
                <w:rFonts w:ascii="Arial" w:hAnsi="Arial" w:cs="Arial"/>
                <w:b/>
                <w:bCs/>
                <w:sz w:val="21"/>
                <w:szCs w:val="21"/>
              </w:rPr>
              <w:lastRenderedPageBreak/>
              <w:t>ADVERSE REACTIONS—HRR Gene-mutated Metastatic Castration-Resistant Prostate Cancer</w:t>
            </w:r>
          </w:p>
          <w:p w14:paraId="0E7B1640" w14:textId="77777777" w:rsidR="0052503C" w:rsidRPr="005678F0" w:rsidRDefault="0052503C" w:rsidP="0052503C">
            <w:pPr>
              <w:spacing w:after="0" w:line="240" w:lineRule="auto"/>
              <w:rPr>
                <w:rFonts w:ascii="Arial" w:hAnsi="Arial" w:cs="Arial"/>
                <w:sz w:val="21"/>
                <w:szCs w:val="21"/>
              </w:rPr>
            </w:pPr>
            <w:r w:rsidRPr="005678F0">
              <w:rPr>
                <w:rFonts w:ascii="Arial" w:hAnsi="Arial" w:cs="Arial"/>
                <w:sz w:val="21"/>
                <w:szCs w:val="21"/>
              </w:rPr>
              <w:t xml:space="preserve">Most common adverse reactions (Grades 1-4) in ≥10% of patients who received LYNPARZA for </w:t>
            </w:r>
            <w:proofErr w:type="spellStart"/>
            <w:r w:rsidRPr="005678F0">
              <w:rPr>
                <w:rFonts w:ascii="Arial" w:hAnsi="Arial" w:cs="Arial"/>
                <w:b/>
                <w:bCs/>
                <w:sz w:val="21"/>
                <w:szCs w:val="21"/>
              </w:rPr>
              <w:t>PROfound</w:t>
            </w:r>
            <w:proofErr w:type="spellEnd"/>
            <w:r w:rsidRPr="005678F0">
              <w:rPr>
                <w:rFonts w:ascii="Arial" w:hAnsi="Arial" w:cs="Arial"/>
                <w:sz w:val="21"/>
                <w:szCs w:val="21"/>
              </w:rPr>
              <w:t xml:space="preserve"> were: anemia (46%), fatigue (including asthenia) (41%), nausea (41%), decreased appetite (30%), diarrhea (21%), vomiting (18%), thrombocytopenia (12%), cough (11%), and dyspnea (10%).</w:t>
            </w:r>
          </w:p>
          <w:p w14:paraId="2311595D" w14:textId="77777777" w:rsidR="0052503C" w:rsidRPr="005678F0" w:rsidRDefault="0052503C" w:rsidP="0052503C">
            <w:pPr>
              <w:spacing w:after="0" w:line="240" w:lineRule="auto"/>
              <w:rPr>
                <w:rFonts w:ascii="Arial" w:hAnsi="Arial" w:cs="Arial"/>
                <w:sz w:val="21"/>
                <w:szCs w:val="21"/>
              </w:rPr>
            </w:pPr>
          </w:p>
          <w:p w14:paraId="6B9DFC88" w14:textId="77777777" w:rsidR="0052503C" w:rsidRPr="005678F0" w:rsidRDefault="0052503C" w:rsidP="0052503C">
            <w:pPr>
              <w:spacing w:after="0" w:line="240" w:lineRule="auto"/>
              <w:rPr>
                <w:rFonts w:ascii="Arial" w:hAnsi="Arial" w:cs="Arial"/>
                <w:sz w:val="21"/>
                <w:szCs w:val="21"/>
              </w:rPr>
            </w:pPr>
            <w:r w:rsidRPr="005678F0">
              <w:rPr>
                <w:rFonts w:ascii="Arial" w:hAnsi="Arial" w:cs="Arial"/>
                <w:sz w:val="21"/>
                <w:szCs w:val="21"/>
              </w:rPr>
              <w:t xml:space="preserve">Most common laboratory abnormalities (Grades 1-4) in ≥25% of patients who received LYNPARZA for </w:t>
            </w:r>
            <w:proofErr w:type="spellStart"/>
            <w:r w:rsidRPr="005678F0">
              <w:rPr>
                <w:rFonts w:ascii="Arial" w:hAnsi="Arial" w:cs="Arial"/>
                <w:b/>
                <w:bCs/>
                <w:sz w:val="21"/>
                <w:szCs w:val="21"/>
              </w:rPr>
              <w:t>PROfound</w:t>
            </w:r>
            <w:proofErr w:type="spellEnd"/>
            <w:r w:rsidRPr="005678F0">
              <w:rPr>
                <w:rFonts w:ascii="Arial" w:hAnsi="Arial" w:cs="Arial"/>
                <w:sz w:val="21"/>
                <w:szCs w:val="21"/>
              </w:rPr>
              <w:t xml:space="preserve"> were: decrease in hemoglobin (98%), decrease in lymphocytes (62%), decrease in leukocytes (53%), and decrease in absolute neutrophil count (34%).</w:t>
            </w:r>
          </w:p>
          <w:p w14:paraId="26EDCCA4" w14:textId="77777777" w:rsidR="0052503C" w:rsidRPr="005678F0" w:rsidRDefault="0052503C" w:rsidP="0052503C">
            <w:pPr>
              <w:spacing w:after="0" w:line="240" w:lineRule="auto"/>
              <w:rPr>
                <w:rFonts w:ascii="Arial" w:hAnsi="Arial" w:cs="Arial"/>
                <w:sz w:val="21"/>
                <w:szCs w:val="21"/>
              </w:rPr>
            </w:pPr>
          </w:p>
          <w:p w14:paraId="0BD08453" w14:textId="77777777" w:rsidR="0052503C" w:rsidRPr="005678F0" w:rsidRDefault="0052503C" w:rsidP="0052503C">
            <w:pPr>
              <w:spacing w:after="0" w:line="240" w:lineRule="auto"/>
              <w:rPr>
                <w:rFonts w:ascii="Arial" w:hAnsi="Arial" w:cs="Arial"/>
                <w:b/>
                <w:bCs/>
                <w:sz w:val="21"/>
                <w:szCs w:val="21"/>
              </w:rPr>
            </w:pPr>
            <w:r w:rsidRPr="005678F0">
              <w:rPr>
                <w:rFonts w:ascii="Arial" w:hAnsi="Arial" w:cs="Arial"/>
                <w:b/>
                <w:bCs/>
                <w:sz w:val="21"/>
                <w:szCs w:val="21"/>
              </w:rPr>
              <w:t>ADVERSE REACTIONS—Metastatic Castration-Resistant Prostate Cancer in Combination with Abiraterone and Prednisone or Prednisolone </w:t>
            </w:r>
          </w:p>
          <w:p w14:paraId="59712856" w14:textId="77777777" w:rsidR="0052503C" w:rsidRPr="005678F0" w:rsidRDefault="0052503C" w:rsidP="0052503C">
            <w:pPr>
              <w:spacing w:after="0" w:line="240" w:lineRule="auto"/>
              <w:rPr>
                <w:rFonts w:ascii="Arial" w:hAnsi="Arial" w:cs="Arial"/>
                <w:sz w:val="21"/>
                <w:szCs w:val="21"/>
              </w:rPr>
            </w:pPr>
            <w:r w:rsidRPr="005678F0">
              <w:rPr>
                <w:rFonts w:ascii="Arial" w:hAnsi="Arial" w:cs="Arial"/>
                <w:sz w:val="21"/>
                <w:szCs w:val="21"/>
              </w:rPr>
              <w:t xml:space="preserve">Most common adverse reactions (Grades 1-4) in ≥10% of patients who received LYNPARZA/abiraterone with a difference of ≥5% compared to placebo for </w:t>
            </w:r>
            <w:proofErr w:type="spellStart"/>
            <w:r w:rsidRPr="005678F0">
              <w:rPr>
                <w:rFonts w:ascii="Arial" w:hAnsi="Arial" w:cs="Arial"/>
                <w:b/>
                <w:bCs/>
                <w:sz w:val="21"/>
                <w:szCs w:val="21"/>
              </w:rPr>
              <w:t>PROpel</w:t>
            </w:r>
            <w:proofErr w:type="spellEnd"/>
            <w:r w:rsidRPr="005678F0">
              <w:rPr>
                <w:rFonts w:ascii="Arial" w:hAnsi="Arial" w:cs="Arial"/>
                <w:sz w:val="21"/>
                <w:szCs w:val="21"/>
              </w:rPr>
              <w:t xml:space="preserve"> were: anemia (48%), fatigue (including asthenia) (38%), nausea (30%), diarrhea (19%), decreased appetite (16%), lymphopenia (14%), dizziness (14%), and abdominal pain (13%). </w:t>
            </w:r>
          </w:p>
          <w:p w14:paraId="65255052" w14:textId="77777777" w:rsidR="0052503C" w:rsidRPr="005678F0" w:rsidRDefault="0052503C" w:rsidP="0052503C">
            <w:pPr>
              <w:spacing w:after="0" w:line="240" w:lineRule="auto"/>
              <w:rPr>
                <w:rFonts w:ascii="Arial" w:hAnsi="Arial" w:cs="Arial"/>
                <w:sz w:val="21"/>
                <w:szCs w:val="21"/>
              </w:rPr>
            </w:pPr>
          </w:p>
          <w:p w14:paraId="638734E6" w14:textId="77777777" w:rsidR="0052503C" w:rsidRPr="005678F0" w:rsidRDefault="0052503C" w:rsidP="0052503C">
            <w:pPr>
              <w:spacing w:after="0" w:line="240" w:lineRule="auto"/>
              <w:rPr>
                <w:rFonts w:ascii="Arial" w:hAnsi="Arial" w:cs="Arial"/>
                <w:sz w:val="21"/>
                <w:szCs w:val="21"/>
              </w:rPr>
            </w:pPr>
            <w:r w:rsidRPr="005678F0">
              <w:rPr>
                <w:rFonts w:ascii="Arial" w:hAnsi="Arial" w:cs="Arial"/>
                <w:sz w:val="21"/>
                <w:szCs w:val="21"/>
              </w:rPr>
              <w:t xml:space="preserve">Most common laboratory abnormalities (Grades 1-4) in ≥20% of patients who received LYNPARZA/abiraterone for </w:t>
            </w:r>
            <w:proofErr w:type="spellStart"/>
            <w:r w:rsidRPr="005678F0">
              <w:rPr>
                <w:rFonts w:ascii="Arial" w:hAnsi="Arial" w:cs="Arial"/>
                <w:b/>
                <w:bCs/>
                <w:sz w:val="21"/>
                <w:szCs w:val="21"/>
              </w:rPr>
              <w:t>PROpel</w:t>
            </w:r>
            <w:proofErr w:type="spellEnd"/>
            <w:r w:rsidRPr="005678F0">
              <w:rPr>
                <w:rFonts w:ascii="Arial" w:hAnsi="Arial" w:cs="Arial"/>
                <w:sz w:val="21"/>
                <w:szCs w:val="21"/>
              </w:rPr>
              <w:t xml:space="preserve"> were: decrease in hemoglobin (97%), decrease in lymphocytes (70%), decrease in platelets (23%), and decrease in absolute neutrophil count (23%).</w:t>
            </w:r>
          </w:p>
          <w:p w14:paraId="550556F6" w14:textId="77777777" w:rsidR="0052503C" w:rsidRPr="005678F0" w:rsidRDefault="0052503C" w:rsidP="0052503C">
            <w:pPr>
              <w:spacing w:after="0" w:line="240" w:lineRule="auto"/>
              <w:rPr>
                <w:rFonts w:ascii="Arial" w:hAnsi="Arial" w:cs="Arial"/>
                <w:sz w:val="21"/>
                <w:szCs w:val="21"/>
              </w:rPr>
            </w:pPr>
          </w:p>
          <w:p w14:paraId="48E5FB6D" w14:textId="77777777" w:rsidR="0052503C" w:rsidRPr="005678F0" w:rsidRDefault="0052503C" w:rsidP="0052503C">
            <w:pPr>
              <w:spacing w:after="0" w:line="240" w:lineRule="auto"/>
              <w:rPr>
                <w:rFonts w:ascii="Arial" w:hAnsi="Arial" w:cs="Arial"/>
                <w:b/>
                <w:bCs/>
                <w:sz w:val="21"/>
                <w:szCs w:val="21"/>
              </w:rPr>
            </w:pPr>
            <w:r w:rsidRPr="005678F0">
              <w:rPr>
                <w:rFonts w:ascii="Arial" w:hAnsi="Arial" w:cs="Arial"/>
                <w:b/>
                <w:bCs/>
                <w:sz w:val="21"/>
                <w:szCs w:val="21"/>
              </w:rPr>
              <w:t>DRUG INTERACTIONS</w:t>
            </w:r>
          </w:p>
          <w:p w14:paraId="39EB5931" w14:textId="77777777" w:rsidR="0052503C" w:rsidRPr="005678F0" w:rsidRDefault="0052503C" w:rsidP="0052503C">
            <w:pPr>
              <w:spacing w:after="0" w:line="240" w:lineRule="auto"/>
              <w:rPr>
                <w:rFonts w:ascii="Arial" w:hAnsi="Arial" w:cs="Arial"/>
                <w:sz w:val="21"/>
                <w:szCs w:val="21"/>
              </w:rPr>
            </w:pPr>
            <w:r w:rsidRPr="005678F0">
              <w:rPr>
                <w:rFonts w:ascii="Arial" w:hAnsi="Arial" w:cs="Arial"/>
                <w:b/>
                <w:bCs/>
                <w:sz w:val="21"/>
                <w:szCs w:val="21"/>
              </w:rPr>
              <w:t>Anticancer Agents:</w:t>
            </w:r>
            <w:r w:rsidRPr="005678F0">
              <w:rPr>
                <w:rFonts w:ascii="Arial" w:hAnsi="Arial" w:cs="Arial"/>
                <w:sz w:val="21"/>
                <w:szCs w:val="21"/>
              </w:rPr>
              <w:t xml:space="preserve"> Clinical studies of LYNPARZA with other myelosuppressive anticancer agents, including DNA-damaging agents, indicate a potentiation and prolongation of myelosuppressive toxicity.</w:t>
            </w:r>
          </w:p>
          <w:p w14:paraId="14C9896A" w14:textId="77777777" w:rsidR="0052503C" w:rsidRPr="005678F0" w:rsidRDefault="0052503C" w:rsidP="0052503C">
            <w:pPr>
              <w:spacing w:after="0" w:line="240" w:lineRule="auto"/>
              <w:rPr>
                <w:rFonts w:ascii="Arial" w:hAnsi="Arial" w:cs="Arial"/>
                <w:sz w:val="21"/>
                <w:szCs w:val="21"/>
              </w:rPr>
            </w:pPr>
          </w:p>
          <w:p w14:paraId="12A96E78" w14:textId="77777777" w:rsidR="0052503C" w:rsidRPr="005678F0" w:rsidRDefault="0052503C" w:rsidP="0052503C">
            <w:pPr>
              <w:spacing w:after="0" w:line="240" w:lineRule="auto"/>
              <w:rPr>
                <w:rFonts w:ascii="Arial" w:hAnsi="Arial" w:cs="Arial"/>
                <w:sz w:val="21"/>
                <w:szCs w:val="21"/>
              </w:rPr>
            </w:pPr>
            <w:r w:rsidRPr="005678F0">
              <w:rPr>
                <w:rFonts w:ascii="Arial" w:hAnsi="Arial" w:cs="Arial"/>
                <w:b/>
                <w:bCs/>
                <w:sz w:val="21"/>
                <w:szCs w:val="21"/>
              </w:rPr>
              <w:t>CYP3A Inhibitors:</w:t>
            </w:r>
            <w:r w:rsidRPr="005678F0">
              <w:rPr>
                <w:rFonts w:ascii="Arial" w:hAnsi="Arial" w:cs="Arial"/>
                <w:sz w:val="21"/>
                <w:szCs w:val="21"/>
              </w:rPr>
              <w:t xml:space="preserve"> Avoid coadministration of strong or moderate CYP3A inhibitors when using LYNPARZA. If a strong or moderate CYP3A inhibitor must be </w:t>
            </w:r>
            <w:proofErr w:type="spellStart"/>
            <w:r w:rsidRPr="005678F0">
              <w:rPr>
                <w:rFonts w:ascii="Arial" w:hAnsi="Arial" w:cs="Arial"/>
                <w:sz w:val="21"/>
                <w:szCs w:val="21"/>
              </w:rPr>
              <w:t>coadministered</w:t>
            </w:r>
            <w:proofErr w:type="spellEnd"/>
            <w:r w:rsidRPr="005678F0">
              <w:rPr>
                <w:rFonts w:ascii="Arial" w:hAnsi="Arial" w:cs="Arial"/>
                <w:sz w:val="21"/>
                <w:szCs w:val="21"/>
              </w:rPr>
              <w:t>, reduce the dose of LYNPARZA. Advise patients to avoid grapefruit, grapefruit juice, Seville oranges, and Seville orange juice during LYNPARZA treatment.</w:t>
            </w:r>
          </w:p>
          <w:p w14:paraId="08FFA599" w14:textId="77777777" w:rsidR="0052503C" w:rsidRPr="005678F0" w:rsidRDefault="0052503C" w:rsidP="0052503C">
            <w:pPr>
              <w:spacing w:after="0" w:line="240" w:lineRule="auto"/>
              <w:rPr>
                <w:rFonts w:ascii="Arial" w:hAnsi="Arial" w:cs="Arial"/>
                <w:sz w:val="21"/>
                <w:szCs w:val="21"/>
              </w:rPr>
            </w:pPr>
          </w:p>
          <w:p w14:paraId="5280944E" w14:textId="77777777" w:rsidR="0052503C" w:rsidRPr="005678F0" w:rsidRDefault="0052503C" w:rsidP="0052503C">
            <w:pPr>
              <w:spacing w:after="0" w:line="240" w:lineRule="auto"/>
              <w:rPr>
                <w:rFonts w:ascii="Arial" w:hAnsi="Arial" w:cs="Arial"/>
                <w:sz w:val="21"/>
                <w:szCs w:val="21"/>
              </w:rPr>
            </w:pPr>
            <w:r w:rsidRPr="005678F0">
              <w:rPr>
                <w:rFonts w:ascii="Arial" w:hAnsi="Arial" w:cs="Arial"/>
                <w:b/>
                <w:bCs/>
                <w:sz w:val="21"/>
                <w:szCs w:val="21"/>
              </w:rPr>
              <w:t>CYP3A Inducers:</w:t>
            </w:r>
            <w:r w:rsidRPr="005678F0">
              <w:rPr>
                <w:rFonts w:ascii="Arial" w:hAnsi="Arial" w:cs="Arial"/>
                <w:sz w:val="21"/>
                <w:szCs w:val="21"/>
              </w:rPr>
              <w:t xml:space="preserve"> Avoid coadministration of strong or moderate CYP3A inducers when using LYNPARZA.</w:t>
            </w:r>
          </w:p>
          <w:p w14:paraId="29C6573E" w14:textId="77777777" w:rsidR="0052503C" w:rsidRPr="005678F0" w:rsidRDefault="0052503C" w:rsidP="0052503C">
            <w:pPr>
              <w:spacing w:after="0" w:line="240" w:lineRule="auto"/>
              <w:rPr>
                <w:rFonts w:ascii="Arial" w:hAnsi="Arial" w:cs="Arial"/>
                <w:sz w:val="21"/>
                <w:szCs w:val="21"/>
              </w:rPr>
            </w:pPr>
          </w:p>
          <w:p w14:paraId="390DB65F" w14:textId="77777777" w:rsidR="0052503C" w:rsidRPr="005678F0" w:rsidRDefault="0052503C" w:rsidP="0052503C">
            <w:pPr>
              <w:spacing w:after="0" w:line="240" w:lineRule="auto"/>
              <w:rPr>
                <w:rFonts w:ascii="Arial" w:hAnsi="Arial" w:cs="Arial"/>
                <w:b/>
                <w:bCs/>
                <w:sz w:val="21"/>
                <w:szCs w:val="21"/>
              </w:rPr>
            </w:pPr>
            <w:r w:rsidRPr="005678F0">
              <w:rPr>
                <w:rFonts w:ascii="Arial" w:hAnsi="Arial" w:cs="Arial"/>
                <w:b/>
                <w:bCs/>
                <w:sz w:val="21"/>
                <w:szCs w:val="21"/>
              </w:rPr>
              <w:t>USE IN SPECIFIC POPULATIONS</w:t>
            </w:r>
          </w:p>
          <w:p w14:paraId="5E1A33F9" w14:textId="77777777" w:rsidR="0052503C" w:rsidRPr="005678F0" w:rsidRDefault="0052503C" w:rsidP="0052503C">
            <w:pPr>
              <w:spacing w:after="0" w:line="240" w:lineRule="auto"/>
              <w:rPr>
                <w:rFonts w:ascii="Arial" w:hAnsi="Arial" w:cs="Arial"/>
                <w:sz w:val="21"/>
                <w:szCs w:val="21"/>
              </w:rPr>
            </w:pPr>
            <w:r w:rsidRPr="005678F0">
              <w:rPr>
                <w:rFonts w:ascii="Arial" w:hAnsi="Arial" w:cs="Arial"/>
                <w:b/>
                <w:bCs/>
                <w:sz w:val="21"/>
                <w:szCs w:val="21"/>
              </w:rPr>
              <w:t>Lactation:</w:t>
            </w:r>
            <w:r w:rsidRPr="005678F0">
              <w:rPr>
                <w:rFonts w:ascii="Arial" w:hAnsi="Arial" w:cs="Arial"/>
                <w:sz w:val="21"/>
                <w:szCs w:val="21"/>
              </w:rPr>
              <w:t xml:space="preserve"> No data are available regarding the presence of </w:t>
            </w:r>
            <w:proofErr w:type="spellStart"/>
            <w:r w:rsidRPr="005678F0">
              <w:rPr>
                <w:rFonts w:ascii="Arial" w:hAnsi="Arial" w:cs="Arial"/>
                <w:sz w:val="21"/>
                <w:szCs w:val="21"/>
              </w:rPr>
              <w:t>olaparib</w:t>
            </w:r>
            <w:proofErr w:type="spellEnd"/>
            <w:r w:rsidRPr="005678F0">
              <w:rPr>
                <w:rFonts w:ascii="Arial" w:hAnsi="Arial" w:cs="Arial"/>
                <w:sz w:val="21"/>
                <w:szCs w:val="21"/>
              </w:rPr>
              <w:t xml:space="preserve"> in human milk, its effects on the breastfed infant or on milk production. Because of the potential for serious adverse reactions in the breastfed infant, advise a lactating woman not to breastfeed during treatment with LYNPARZA and for 1 month after receiving the final dose. </w:t>
            </w:r>
          </w:p>
          <w:p w14:paraId="2E48D304" w14:textId="77777777" w:rsidR="0052503C" w:rsidRPr="005678F0" w:rsidRDefault="0052503C" w:rsidP="0052503C">
            <w:pPr>
              <w:spacing w:after="0" w:line="240" w:lineRule="auto"/>
              <w:rPr>
                <w:rFonts w:ascii="Arial" w:hAnsi="Arial" w:cs="Arial"/>
                <w:sz w:val="21"/>
                <w:szCs w:val="21"/>
              </w:rPr>
            </w:pPr>
          </w:p>
          <w:p w14:paraId="3AD40816" w14:textId="77777777" w:rsidR="0052503C" w:rsidRPr="005678F0" w:rsidRDefault="0052503C" w:rsidP="0052503C">
            <w:pPr>
              <w:spacing w:after="0" w:line="240" w:lineRule="auto"/>
              <w:rPr>
                <w:rFonts w:ascii="Arial" w:hAnsi="Arial" w:cs="Arial"/>
                <w:sz w:val="21"/>
                <w:szCs w:val="21"/>
              </w:rPr>
            </w:pPr>
            <w:r w:rsidRPr="005678F0">
              <w:rPr>
                <w:rFonts w:ascii="Arial" w:hAnsi="Arial" w:cs="Arial"/>
                <w:b/>
                <w:bCs/>
                <w:sz w:val="21"/>
                <w:szCs w:val="21"/>
              </w:rPr>
              <w:t>Pediatric Use:</w:t>
            </w:r>
            <w:r w:rsidRPr="005678F0">
              <w:rPr>
                <w:rFonts w:ascii="Arial" w:hAnsi="Arial" w:cs="Arial"/>
                <w:sz w:val="21"/>
                <w:szCs w:val="21"/>
              </w:rPr>
              <w:t xml:space="preserve"> The safety and efficacy of LYNPARZA have not been established in pediatric patients.</w:t>
            </w:r>
          </w:p>
          <w:p w14:paraId="73470057" w14:textId="77777777" w:rsidR="0052503C" w:rsidRPr="005678F0" w:rsidRDefault="0052503C" w:rsidP="0052503C">
            <w:pPr>
              <w:spacing w:after="0" w:line="240" w:lineRule="auto"/>
              <w:rPr>
                <w:rFonts w:ascii="Arial" w:hAnsi="Arial" w:cs="Arial"/>
                <w:sz w:val="21"/>
                <w:szCs w:val="21"/>
              </w:rPr>
            </w:pPr>
          </w:p>
          <w:p w14:paraId="05E50D55" w14:textId="77777777" w:rsidR="0052503C" w:rsidRPr="005678F0" w:rsidRDefault="0052503C" w:rsidP="0052503C">
            <w:pPr>
              <w:spacing w:after="0" w:line="240" w:lineRule="auto"/>
              <w:rPr>
                <w:rFonts w:ascii="Arial" w:hAnsi="Arial" w:cs="Arial"/>
                <w:sz w:val="21"/>
                <w:szCs w:val="21"/>
              </w:rPr>
            </w:pPr>
            <w:r w:rsidRPr="005678F0">
              <w:rPr>
                <w:rFonts w:ascii="Arial" w:hAnsi="Arial" w:cs="Arial"/>
                <w:b/>
                <w:bCs/>
                <w:sz w:val="21"/>
                <w:szCs w:val="21"/>
              </w:rPr>
              <w:t>Hepatic Impairment:</w:t>
            </w:r>
            <w:r w:rsidRPr="005678F0">
              <w:rPr>
                <w:rFonts w:ascii="Arial" w:hAnsi="Arial" w:cs="Arial"/>
                <w:sz w:val="21"/>
                <w:szCs w:val="21"/>
              </w:rPr>
              <w:t xml:space="preserve"> No adjustment to the starting dose is required in patients with mild or moderate hepatic impairment (Child-Pugh classification A and B). There are no data in patients with severe hepatic impairment (Child-Pugh classification C).</w:t>
            </w:r>
          </w:p>
          <w:p w14:paraId="3F3D35F1" w14:textId="77777777" w:rsidR="0052503C" w:rsidRPr="005678F0" w:rsidRDefault="0052503C" w:rsidP="0052503C">
            <w:pPr>
              <w:spacing w:after="0" w:line="240" w:lineRule="auto"/>
              <w:rPr>
                <w:rFonts w:ascii="Arial" w:hAnsi="Arial" w:cs="Arial"/>
                <w:sz w:val="21"/>
                <w:szCs w:val="21"/>
              </w:rPr>
            </w:pPr>
          </w:p>
          <w:p w14:paraId="2A4B4401" w14:textId="77777777" w:rsidR="0052503C" w:rsidRPr="005678F0" w:rsidRDefault="0052503C" w:rsidP="0052503C">
            <w:pPr>
              <w:spacing w:after="0" w:line="240" w:lineRule="auto"/>
              <w:rPr>
                <w:rFonts w:ascii="Arial" w:hAnsi="Arial" w:cs="Arial"/>
                <w:sz w:val="21"/>
                <w:szCs w:val="21"/>
              </w:rPr>
            </w:pPr>
            <w:r w:rsidRPr="005678F0">
              <w:rPr>
                <w:rFonts w:ascii="Arial" w:hAnsi="Arial" w:cs="Arial"/>
                <w:b/>
                <w:bCs/>
                <w:sz w:val="21"/>
                <w:szCs w:val="21"/>
              </w:rPr>
              <w:t>Renal Impairment:</w:t>
            </w:r>
            <w:r w:rsidRPr="005678F0">
              <w:rPr>
                <w:rFonts w:ascii="Arial" w:hAnsi="Arial" w:cs="Arial"/>
                <w:sz w:val="21"/>
                <w:szCs w:val="21"/>
              </w:rPr>
              <w:t xml:space="preserve"> No dosage modification is recommended in patients with mild renal impairment (</w:t>
            </w:r>
            <w:proofErr w:type="spellStart"/>
            <w:r w:rsidRPr="005678F0">
              <w:rPr>
                <w:rFonts w:ascii="Arial" w:hAnsi="Arial" w:cs="Arial"/>
                <w:sz w:val="21"/>
                <w:szCs w:val="21"/>
              </w:rPr>
              <w:t>CLcr</w:t>
            </w:r>
            <w:proofErr w:type="spellEnd"/>
            <w:r w:rsidRPr="005678F0">
              <w:rPr>
                <w:rFonts w:ascii="Arial" w:hAnsi="Arial" w:cs="Arial"/>
                <w:sz w:val="21"/>
                <w:szCs w:val="21"/>
              </w:rPr>
              <w:t xml:space="preserve"> 51-80 mL/min estimated by Cockcroft-Gault). In patients with moderate renal impairment (</w:t>
            </w:r>
            <w:proofErr w:type="spellStart"/>
            <w:r w:rsidRPr="005678F0">
              <w:rPr>
                <w:rFonts w:ascii="Arial" w:hAnsi="Arial" w:cs="Arial"/>
                <w:sz w:val="21"/>
                <w:szCs w:val="21"/>
              </w:rPr>
              <w:t>CLcr</w:t>
            </w:r>
            <w:proofErr w:type="spellEnd"/>
            <w:r w:rsidRPr="005678F0">
              <w:rPr>
                <w:rFonts w:ascii="Arial" w:hAnsi="Arial" w:cs="Arial"/>
                <w:sz w:val="21"/>
                <w:szCs w:val="21"/>
              </w:rPr>
              <w:t xml:space="preserve"> 31-50 mL/min), reduce the dose of LYNPARZA to 200 mg twice daily. There are no data in patients with severe renal impairment or end-stage renal disease (</w:t>
            </w:r>
            <w:proofErr w:type="spellStart"/>
            <w:r w:rsidRPr="005678F0">
              <w:rPr>
                <w:rFonts w:ascii="Arial" w:hAnsi="Arial" w:cs="Arial"/>
                <w:sz w:val="21"/>
                <w:szCs w:val="21"/>
              </w:rPr>
              <w:t>CLcr</w:t>
            </w:r>
            <w:proofErr w:type="spellEnd"/>
            <w:r w:rsidRPr="005678F0">
              <w:rPr>
                <w:rFonts w:ascii="Arial" w:hAnsi="Arial" w:cs="Arial"/>
                <w:sz w:val="21"/>
                <w:szCs w:val="21"/>
              </w:rPr>
              <w:t xml:space="preserve"> ≤30 mL/min).</w:t>
            </w:r>
          </w:p>
          <w:p w14:paraId="247CB1F5" w14:textId="77777777" w:rsidR="0052503C" w:rsidRPr="005678F0" w:rsidRDefault="0052503C" w:rsidP="0052503C">
            <w:pPr>
              <w:spacing w:after="0" w:line="240" w:lineRule="auto"/>
              <w:rPr>
                <w:rFonts w:ascii="Arial" w:hAnsi="Arial" w:cs="Arial"/>
                <w:b/>
                <w:bCs/>
                <w:sz w:val="21"/>
                <w:szCs w:val="21"/>
              </w:rPr>
            </w:pPr>
          </w:p>
          <w:p w14:paraId="5EC3C471" w14:textId="77777777" w:rsidR="0052503C" w:rsidRPr="005678F0" w:rsidRDefault="0052503C" w:rsidP="0052503C">
            <w:pPr>
              <w:spacing w:after="0" w:line="240" w:lineRule="auto"/>
              <w:rPr>
                <w:rFonts w:ascii="Arial" w:hAnsi="Arial" w:cs="Arial"/>
                <w:b/>
                <w:bCs/>
                <w:sz w:val="21"/>
                <w:szCs w:val="21"/>
              </w:rPr>
            </w:pPr>
            <w:r w:rsidRPr="005678F0">
              <w:rPr>
                <w:rFonts w:ascii="Arial" w:hAnsi="Arial" w:cs="Arial"/>
                <w:b/>
                <w:bCs/>
                <w:sz w:val="21"/>
                <w:szCs w:val="21"/>
              </w:rPr>
              <w:lastRenderedPageBreak/>
              <w:t>INDICATIONS</w:t>
            </w:r>
          </w:p>
          <w:p w14:paraId="175404FC" w14:textId="77777777" w:rsidR="0052503C" w:rsidRPr="005678F0" w:rsidRDefault="0052503C" w:rsidP="0052503C">
            <w:pPr>
              <w:spacing w:after="0" w:line="240" w:lineRule="auto"/>
              <w:rPr>
                <w:rFonts w:ascii="Arial" w:hAnsi="Arial" w:cs="Arial"/>
                <w:sz w:val="21"/>
                <w:szCs w:val="21"/>
              </w:rPr>
            </w:pPr>
            <w:r w:rsidRPr="005678F0">
              <w:rPr>
                <w:rFonts w:ascii="Arial" w:hAnsi="Arial" w:cs="Arial"/>
                <w:sz w:val="21"/>
                <w:szCs w:val="21"/>
              </w:rPr>
              <w:t xml:space="preserve">LYNPARZA is a poly (ADP-ribose) polymerase (PARP) inhibitor indicated: </w:t>
            </w:r>
          </w:p>
          <w:p w14:paraId="0D4FFA89" w14:textId="77777777" w:rsidR="0052503C" w:rsidRPr="005678F0" w:rsidRDefault="0052503C" w:rsidP="0052503C">
            <w:pPr>
              <w:spacing w:after="0" w:line="240" w:lineRule="auto"/>
              <w:rPr>
                <w:rFonts w:ascii="Arial" w:hAnsi="Arial" w:cs="Arial"/>
                <w:sz w:val="21"/>
                <w:szCs w:val="21"/>
              </w:rPr>
            </w:pPr>
          </w:p>
          <w:p w14:paraId="504B1C15" w14:textId="77777777" w:rsidR="0052503C" w:rsidRPr="005678F0" w:rsidRDefault="0052503C" w:rsidP="0052503C">
            <w:pPr>
              <w:spacing w:after="0" w:line="240" w:lineRule="auto"/>
              <w:rPr>
                <w:rFonts w:ascii="Arial" w:hAnsi="Arial" w:cs="Arial"/>
                <w:sz w:val="21"/>
                <w:szCs w:val="21"/>
              </w:rPr>
            </w:pPr>
            <w:r w:rsidRPr="005678F0">
              <w:rPr>
                <w:rFonts w:ascii="Arial" w:hAnsi="Arial" w:cs="Arial"/>
                <w:b/>
                <w:bCs/>
                <w:sz w:val="21"/>
                <w:szCs w:val="21"/>
              </w:rPr>
              <w:t>HRR Gene-mutated Metastatic Castration-Resistant Prostate Cancer</w:t>
            </w:r>
            <w:r w:rsidRPr="005678F0">
              <w:rPr>
                <w:rFonts w:ascii="Arial" w:hAnsi="Arial" w:cs="Arial"/>
                <w:b/>
                <w:bCs/>
                <w:sz w:val="21"/>
                <w:szCs w:val="21"/>
              </w:rPr>
              <w:br/>
            </w:r>
            <w:r w:rsidRPr="005678F0">
              <w:rPr>
                <w:rFonts w:ascii="Arial" w:hAnsi="Arial" w:cs="Arial"/>
                <w:sz w:val="21"/>
                <w:szCs w:val="21"/>
              </w:rPr>
              <w:t>For the treatment of adult patients with deleterious or suspected deleterious germline or somatic homologous recombination repair (HRR) gene-mutated metastatic castration-resistant prostate cancer (</w:t>
            </w:r>
            <w:proofErr w:type="spellStart"/>
            <w:r w:rsidRPr="005678F0">
              <w:rPr>
                <w:rFonts w:ascii="Arial" w:hAnsi="Arial" w:cs="Arial"/>
                <w:sz w:val="21"/>
                <w:szCs w:val="21"/>
              </w:rPr>
              <w:t>mCRPC</w:t>
            </w:r>
            <w:proofErr w:type="spellEnd"/>
            <w:r w:rsidRPr="005678F0">
              <w:rPr>
                <w:rFonts w:ascii="Arial" w:hAnsi="Arial" w:cs="Arial"/>
                <w:sz w:val="21"/>
                <w:szCs w:val="21"/>
              </w:rPr>
              <w:t>) who have progressed following prior treatment with enzalutamide or abiraterone. Select patients for therapy based on an FDA-approved companion diagnostic for LYNPARZA.</w:t>
            </w:r>
          </w:p>
          <w:p w14:paraId="6C8121F3" w14:textId="77777777" w:rsidR="0052503C" w:rsidRPr="005678F0" w:rsidRDefault="0052503C" w:rsidP="0052503C">
            <w:pPr>
              <w:spacing w:after="0" w:line="240" w:lineRule="auto"/>
              <w:rPr>
                <w:rFonts w:ascii="Arial" w:hAnsi="Arial" w:cs="Arial"/>
                <w:sz w:val="21"/>
                <w:szCs w:val="21"/>
              </w:rPr>
            </w:pPr>
          </w:p>
          <w:p w14:paraId="31005CB1" w14:textId="77777777" w:rsidR="0052503C" w:rsidRPr="005678F0" w:rsidRDefault="0052503C" w:rsidP="0052503C">
            <w:pPr>
              <w:spacing w:after="0" w:line="240" w:lineRule="auto"/>
              <w:rPr>
                <w:rFonts w:ascii="Arial" w:hAnsi="Arial" w:cs="Arial"/>
                <w:sz w:val="21"/>
                <w:szCs w:val="21"/>
              </w:rPr>
            </w:pPr>
            <w:proofErr w:type="spellStart"/>
            <w:r w:rsidRPr="005678F0">
              <w:rPr>
                <w:rFonts w:ascii="Arial" w:hAnsi="Arial" w:cs="Arial"/>
                <w:b/>
                <w:bCs/>
                <w:i/>
                <w:iCs/>
                <w:sz w:val="21"/>
                <w:szCs w:val="21"/>
              </w:rPr>
              <w:t>BRCA</w:t>
            </w:r>
            <w:r w:rsidRPr="005678F0">
              <w:rPr>
                <w:rFonts w:ascii="Arial" w:hAnsi="Arial" w:cs="Arial"/>
                <w:b/>
                <w:bCs/>
                <w:sz w:val="21"/>
                <w:szCs w:val="21"/>
              </w:rPr>
              <w:t>m</w:t>
            </w:r>
            <w:proofErr w:type="spellEnd"/>
            <w:r w:rsidRPr="005678F0">
              <w:rPr>
                <w:rFonts w:ascii="Arial" w:hAnsi="Arial" w:cs="Arial"/>
                <w:b/>
                <w:bCs/>
                <w:sz w:val="21"/>
                <w:szCs w:val="21"/>
              </w:rPr>
              <w:t xml:space="preserve"> Metastatic Castration-Resistant Prostate Cancer in Combination with Abiraterone and Prednisone or Prednisolone</w:t>
            </w:r>
            <w:r w:rsidRPr="005678F0">
              <w:rPr>
                <w:rFonts w:ascii="Arial" w:hAnsi="Arial" w:cs="Arial"/>
                <w:sz w:val="21"/>
                <w:szCs w:val="21"/>
              </w:rPr>
              <w:br/>
              <w:t>In combination with abiraterone and prednisone or prednisolone (</w:t>
            </w:r>
            <w:proofErr w:type="spellStart"/>
            <w:r w:rsidRPr="005678F0">
              <w:rPr>
                <w:rFonts w:ascii="Arial" w:hAnsi="Arial" w:cs="Arial"/>
                <w:sz w:val="21"/>
                <w:szCs w:val="21"/>
              </w:rPr>
              <w:t>abi</w:t>
            </w:r>
            <w:proofErr w:type="spellEnd"/>
            <w:r w:rsidRPr="005678F0">
              <w:rPr>
                <w:rFonts w:ascii="Arial" w:hAnsi="Arial" w:cs="Arial"/>
                <w:sz w:val="21"/>
                <w:szCs w:val="21"/>
              </w:rPr>
              <w:t xml:space="preserve">/pred) for the treatment of adult patients with deleterious or suspected deleterious </w:t>
            </w:r>
            <w:r w:rsidRPr="005678F0">
              <w:rPr>
                <w:rFonts w:ascii="Arial" w:hAnsi="Arial" w:cs="Arial"/>
                <w:i/>
                <w:iCs/>
                <w:sz w:val="21"/>
                <w:szCs w:val="21"/>
              </w:rPr>
              <w:t>BRCA</w:t>
            </w:r>
            <w:r w:rsidRPr="005678F0">
              <w:rPr>
                <w:rFonts w:ascii="Arial" w:hAnsi="Arial" w:cs="Arial"/>
                <w:sz w:val="21"/>
                <w:szCs w:val="21"/>
              </w:rPr>
              <w:t>-mutated (</w:t>
            </w:r>
            <w:proofErr w:type="spellStart"/>
            <w:r w:rsidRPr="005678F0">
              <w:rPr>
                <w:rFonts w:ascii="Arial" w:hAnsi="Arial" w:cs="Arial"/>
                <w:i/>
                <w:iCs/>
                <w:sz w:val="21"/>
                <w:szCs w:val="21"/>
              </w:rPr>
              <w:t>BRCA</w:t>
            </w:r>
            <w:r w:rsidRPr="005678F0">
              <w:rPr>
                <w:rFonts w:ascii="Arial" w:hAnsi="Arial" w:cs="Arial"/>
                <w:sz w:val="21"/>
                <w:szCs w:val="21"/>
              </w:rPr>
              <w:t>m</w:t>
            </w:r>
            <w:proofErr w:type="spellEnd"/>
            <w:r w:rsidRPr="005678F0">
              <w:rPr>
                <w:rFonts w:ascii="Arial" w:hAnsi="Arial" w:cs="Arial"/>
                <w:sz w:val="21"/>
                <w:szCs w:val="21"/>
              </w:rPr>
              <w:t>) metastatic castration-resistant prostate cancer (</w:t>
            </w:r>
            <w:proofErr w:type="spellStart"/>
            <w:r w:rsidRPr="005678F0">
              <w:rPr>
                <w:rFonts w:ascii="Arial" w:hAnsi="Arial" w:cs="Arial"/>
                <w:sz w:val="21"/>
                <w:szCs w:val="21"/>
              </w:rPr>
              <w:t>mCRPC</w:t>
            </w:r>
            <w:proofErr w:type="spellEnd"/>
            <w:r w:rsidRPr="005678F0">
              <w:rPr>
                <w:rFonts w:ascii="Arial" w:hAnsi="Arial" w:cs="Arial"/>
                <w:sz w:val="21"/>
                <w:szCs w:val="21"/>
              </w:rPr>
              <w:t>). Select patients for therapy based on an FDA-approved companion diagnostic for LYNPARZA.</w:t>
            </w:r>
          </w:p>
          <w:p w14:paraId="75F0BE0D" w14:textId="77777777" w:rsidR="0052503C" w:rsidRPr="005678F0" w:rsidRDefault="0052503C" w:rsidP="0052503C">
            <w:pPr>
              <w:spacing w:after="0" w:line="240" w:lineRule="auto"/>
              <w:rPr>
                <w:rFonts w:ascii="Arial" w:hAnsi="Arial" w:cs="Arial"/>
                <w:sz w:val="21"/>
                <w:szCs w:val="21"/>
              </w:rPr>
            </w:pPr>
          </w:p>
          <w:p w14:paraId="2FB7EB11" w14:textId="77777777" w:rsidR="0052503C" w:rsidRPr="005678F0" w:rsidRDefault="0052503C" w:rsidP="0052503C">
            <w:pPr>
              <w:spacing w:after="0" w:line="240" w:lineRule="auto"/>
              <w:rPr>
                <w:rFonts w:ascii="Arial" w:hAnsi="Arial" w:cs="Arial"/>
                <w:b/>
                <w:bCs/>
                <w:sz w:val="21"/>
                <w:szCs w:val="21"/>
              </w:rPr>
            </w:pPr>
            <w:r w:rsidRPr="005678F0">
              <w:rPr>
                <w:rFonts w:ascii="Arial" w:hAnsi="Arial" w:cs="Arial"/>
                <w:b/>
                <w:bCs/>
                <w:sz w:val="21"/>
                <w:szCs w:val="21"/>
              </w:rPr>
              <w:t xml:space="preserve">Please see complete Prescribing Information, including Medication Guide, at </w:t>
            </w:r>
            <w:hyperlink r:id="rId12" w:history="1">
              <w:r w:rsidRPr="005678F0">
                <w:rPr>
                  <w:rStyle w:val="Hyperlink"/>
                  <w:rFonts w:ascii="Arial" w:hAnsi="Arial" w:cs="Arial"/>
                  <w:b/>
                  <w:bCs/>
                  <w:sz w:val="21"/>
                  <w:szCs w:val="21"/>
                </w:rPr>
                <w:t>www.lynparzahcp.com</w:t>
              </w:r>
            </w:hyperlink>
            <w:r w:rsidRPr="005678F0">
              <w:rPr>
                <w:rFonts w:ascii="Arial" w:hAnsi="Arial" w:cs="Arial"/>
                <w:b/>
                <w:bCs/>
                <w:sz w:val="21"/>
                <w:szCs w:val="21"/>
              </w:rPr>
              <w:t>.</w:t>
            </w:r>
          </w:p>
          <w:p w14:paraId="3DC1A5D8" w14:textId="77777777" w:rsidR="0052503C" w:rsidRPr="005678F0" w:rsidRDefault="0052503C" w:rsidP="0052503C">
            <w:pPr>
              <w:spacing w:after="0" w:line="240" w:lineRule="auto"/>
              <w:rPr>
                <w:rFonts w:ascii="Arial" w:hAnsi="Arial" w:cs="Arial"/>
                <w:sz w:val="21"/>
                <w:szCs w:val="21"/>
              </w:rPr>
            </w:pPr>
          </w:p>
          <w:p w14:paraId="490431ED" w14:textId="77777777" w:rsidR="0052503C" w:rsidRPr="005678F0" w:rsidRDefault="0052503C" w:rsidP="0052503C">
            <w:pPr>
              <w:spacing w:after="0" w:line="240" w:lineRule="auto"/>
              <w:rPr>
                <w:rFonts w:ascii="Arial" w:hAnsi="Arial" w:cs="Arial"/>
                <w:sz w:val="21"/>
                <w:szCs w:val="21"/>
              </w:rPr>
            </w:pPr>
            <w:r w:rsidRPr="005678F0">
              <w:rPr>
                <w:rFonts w:ascii="Arial" w:hAnsi="Arial" w:cs="Arial"/>
                <w:sz w:val="21"/>
                <w:szCs w:val="21"/>
              </w:rPr>
              <w:t>You are encouraged to report negative side effects of AstraZeneca prescription drugs by calling 1-800-236-9933. If you prefer to report these to the FDA, call 1-800-FDA-1088.</w:t>
            </w:r>
          </w:p>
          <w:p w14:paraId="40FC1E80" w14:textId="77777777" w:rsidR="0052503C" w:rsidRPr="005678F0" w:rsidRDefault="0052503C" w:rsidP="0052503C">
            <w:pPr>
              <w:spacing w:after="0" w:line="240" w:lineRule="auto"/>
              <w:rPr>
                <w:rFonts w:ascii="Arial" w:hAnsi="Arial" w:cs="Arial"/>
                <w:sz w:val="21"/>
                <w:szCs w:val="21"/>
              </w:rPr>
            </w:pPr>
          </w:p>
          <w:p w14:paraId="232AE054" w14:textId="77777777" w:rsidR="0052503C" w:rsidRPr="005678F0" w:rsidRDefault="0052503C" w:rsidP="0052503C">
            <w:pPr>
              <w:spacing w:after="0" w:line="240" w:lineRule="auto"/>
              <w:rPr>
                <w:rFonts w:ascii="Arial" w:hAnsi="Arial" w:cs="Arial"/>
                <w:sz w:val="21"/>
                <w:szCs w:val="21"/>
              </w:rPr>
            </w:pPr>
            <w:r w:rsidRPr="005678F0">
              <w:rPr>
                <w:rFonts w:ascii="Arial" w:hAnsi="Arial" w:cs="Arial"/>
                <w:sz w:val="21"/>
                <w:szCs w:val="21"/>
              </w:rPr>
              <w:t>LYNPARZA is a registered trademark of the AstraZeneca group of companies.</w:t>
            </w:r>
          </w:p>
          <w:p w14:paraId="3EECC976" w14:textId="77777777" w:rsidR="0052503C" w:rsidRPr="005678F0" w:rsidRDefault="0052503C" w:rsidP="0052503C">
            <w:pPr>
              <w:spacing w:after="0" w:line="240" w:lineRule="auto"/>
              <w:rPr>
                <w:rFonts w:ascii="Arial" w:hAnsi="Arial" w:cs="Arial"/>
                <w:sz w:val="21"/>
                <w:szCs w:val="21"/>
              </w:rPr>
            </w:pPr>
          </w:p>
          <w:p w14:paraId="1CF990A2" w14:textId="77777777" w:rsidR="0052503C" w:rsidRPr="005678F0" w:rsidRDefault="0052503C" w:rsidP="0052503C">
            <w:pPr>
              <w:spacing w:after="0" w:line="240" w:lineRule="auto"/>
              <w:rPr>
                <w:rFonts w:ascii="Arial" w:hAnsi="Arial" w:cs="Arial"/>
                <w:sz w:val="21"/>
                <w:szCs w:val="21"/>
              </w:rPr>
            </w:pPr>
            <w:r w:rsidRPr="005678F0">
              <w:rPr>
                <w:rFonts w:ascii="Arial" w:hAnsi="Arial" w:cs="Arial"/>
                <w:sz w:val="21"/>
                <w:szCs w:val="21"/>
              </w:rPr>
              <w:t>©2024 AstraZeneca. All rights reserved. US-91715 Last Updated 8/24</w:t>
            </w:r>
          </w:p>
          <w:p w14:paraId="22762EAA" w14:textId="6FC7B4E8" w:rsidR="00C83C35" w:rsidRPr="005678F0" w:rsidRDefault="00C83C35" w:rsidP="008879F8">
            <w:pPr>
              <w:pStyle w:val="BasicParagraph"/>
              <w:suppressAutoHyphens/>
              <w:spacing w:line="240" w:lineRule="auto"/>
              <w:ind w:left="90" w:right="181"/>
              <w:rPr>
                <w:rFonts w:ascii="Karla" w:hAnsi="Karla" w:cs="Karla"/>
                <w:color w:val="FF66FF"/>
                <w:sz w:val="20"/>
                <w:szCs w:val="20"/>
              </w:rPr>
            </w:pPr>
          </w:p>
        </w:tc>
      </w:tr>
    </w:tbl>
    <w:p w14:paraId="3E7C28A8" w14:textId="7284E810" w:rsidR="00773686" w:rsidRPr="005678F0" w:rsidRDefault="008F6E08" w:rsidP="0052503C">
      <w:pPr>
        <w:spacing w:after="0" w:line="240" w:lineRule="auto"/>
        <w:rPr>
          <w:rFonts w:ascii="Arial" w:hAnsi="Arial" w:cs="Arial"/>
          <w:sz w:val="21"/>
          <w:szCs w:val="21"/>
        </w:rPr>
      </w:pPr>
      <w:r w:rsidRPr="005678F0">
        <w:lastRenderedPageBreak/>
        <w:br w:type="page"/>
      </w:r>
      <w:bookmarkStart w:id="3" w:name="_Hlk173835486"/>
    </w:p>
    <w:p w14:paraId="3C308129" w14:textId="77777777" w:rsidR="00773686" w:rsidRPr="005678F0" w:rsidRDefault="00773686" w:rsidP="00773686">
      <w:pPr>
        <w:spacing w:after="0" w:line="240" w:lineRule="auto"/>
        <w:rPr>
          <w:rFonts w:ascii="Arial" w:hAnsi="Arial" w:cs="Arial"/>
          <w:sz w:val="21"/>
          <w:szCs w:val="21"/>
        </w:rPr>
      </w:pPr>
    </w:p>
    <w:bookmarkEnd w:id="3"/>
    <w:tbl>
      <w:tblPr>
        <w:tblW w:w="12960" w:type="dxa"/>
        <w:tblInd w:w="175" w:type="dxa"/>
        <w:tblBorders>
          <w:top w:val="single" w:sz="4" w:space="0" w:color="829BAD" w:themeColor="background2"/>
          <w:left w:val="single" w:sz="4" w:space="0" w:color="829BAD" w:themeColor="background2"/>
          <w:bottom w:val="single" w:sz="4" w:space="0" w:color="829BAD" w:themeColor="background2"/>
          <w:right w:val="single" w:sz="4" w:space="0" w:color="829BAD" w:themeColor="background2"/>
          <w:insideH w:val="single" w:sz="4" w:space="0" w:color="829BAD" w:themeColor="background2"/>
          <w:insideV w:val="single" w:sz="4" w:space="0" w:color="829BAD" w:themeColor="background2"/>
        </w:tblBorders>
        <w:tblLayout w:type="fixed"/>
        <w:tblCellMar>
          <w:left w:w="0" w:type="dxa"/>
          <w:right w:w="0" w:type="dxa"/>
        </w:tblCellMar>
        <w:tblLook w:val="01E0" w:firstRow="1" w:lastRow="1" w:firstColumn="1" w:lastColumn="1" w:noHBand="0" w:noVBand="0"/>
      </w:tblPr>
      <w:tblGrid>
        <w:gridCol w:w="12960"/>
      </w:tblGrid>
      <w:tr w:rsidR="00C83C35" w:rsidRPr="005678F0" w14:paraId="3413766D" w14:textId="77777777" w:rsidTr="00C83C35">
        <w:trPr>
          <w:cantSplit/>
          <w:trHeight w:val="317"/>
        </w:trPr>
        <w:tc>
          <w:tcPr>
            <w:tcW w:w="12960" w:type="dxa"/>
            <w:shd w:val="clear" w:color="auto" w:fill="829BAD" w:themeFill="background2"/>
          </w:tcPr>
          <w:p w14:paraId="691DB772" w14:textId="77777777" w:rsidR="00C83C35" w:rsidRPr="005678F0" w:rsidRDefault="00C83C35" w:rsidP="008F6E08">
            <w:pPr>
              <w:pStyle w:val="TableParagraph"/>
              <w:spacing w:before="48" w:line="276" w:lineRule="auto"/>
              <w:ind w:left="0"/>
              <w:rPr>
                <w:rFonts w:asciiTheme="majorHAnsi" w:hAnsiTheme="majorHAnsi"/>
                <w:b/>
                <w:noProof/>
                <w:color w:val="FFFFFF" w:themeColor="accent6"/>
                <w:sz w:val="20"/>
              </w:rPr>
            </w:pPr>
          </w:p>
        </w:tc>
      </w:tr>
      <w:tr w:rsidR="00C83C35" w:rsidRPr="009B4D2B" w14:paraId="1E36722A" w14:textId="77777777" w:rsidTr="00C83C35">
        <w:trPr>
          <w:cantSplit/>
          <w:trHeight w:val="317"/>
        </w:trPr>
        <w:tc>
          <w:tcPr>
            <w:tcW w:w="12960" w:type="dxa"/>
          </w:tcPr>
          <w:p w14:paraId="61D2AAD3" w14:textId="77777777" w:rsidR="00C83C35" w:rsidRPr="005678F0" w:rsidRDefault="00C83C35" w:rsidP="008F6E08">
            <w:pPr>
              <w:spacing w:after="0"/>
              <w:ind w:right="176"/>
              <w:rPr>
                <w:rFonts w:asciiTheme="majorHAnsi" w:hAnsiTheme="majorHAnsi"/>
                <w:sz w:val="20"/>
                <w:szCs w:val="20"/>
              </w:rPr>
            </w:pPr>
            <w:r w:rsidRPr="005678F0">
              <w:rPr>
                <w:rFonts w:asciiTheme="majorHAnsi" w:hAnsiTheme="majorHAnsi"/>
                <w:b/>
                <w:bCs/>
                <w:sz w:val="20"/>
                <w:szCs w:val="20"/>
              </w:rPr>
              <w:t>References</w:t>
            </w:r>
          </w:p>
          <w:p w14:paraId="584DFD57" w14:textId="77777777" w:rsidR="00C83C35" w:rsidRPr="005678F0" w:rsidRDefault="00C83C35" w:rsidP="00E2016B">
            <w:pPr>
              <w:pStyle w:val="ListParagraph"/>
              <w:widowControl/>
              <w:numPr>
                <w:ilvl w:val="0"/>
                <w:numId w:val="14"/>
              </w:numPr>
              <w:autoSpaceDE/>
              <w:autoSpaceDN/>
              <w:contextualSpacing/>
              <w:rPr>
                <w:rFonts w:asciiTheme="majorHAnsi" w:hAnsiTheme="majorHAnsi" w:cs="Arial"/>
                <w:sz w:val="20"/>
                <w:szCs w:val="20"/>
              </w:rPr>
            </w:pPr>
            <w:r w:rsidRPr="005678F0">
              <w:rPr>
                <w:rFonts w:asciiTheme="majorHAnsi" w:hAnsiTheme="majorHAnsi" w:cs="Arial"/>
                <w:sz w:val="20"/>
                <w:szCs w:val="20"/>
              </w:rPr>
              <w:t xml:space="preserve">Mateo J, </w:t>
            </w:r>
            <w:proofErr w:type="spellStart"/>
            <w:r w:rsidRPr="005678F0">
              <w:rPr>
                <w:rFonts w:asciiTheme="majorHAnsi" w:hAnsiTheme="majorHAnsi" w:cs="Arial"/>
                <w:sz w:val="20"/>
                <w:szCs w:val="20"/>
              </w:rPr>
              <w:t>Carreira</w:t>
            </w:r>
            <w:proofErr w:type="spellEnd"/>
            <w:r w:rsidRPr="005678F0">
              <w:rPr>
                <w:rFonts w:asciiTheme="majorHAnsi" w:hAnsiTheme="majorHAnsi" w:cs="Arial"/>
                <w:sz w:val="20"/>
                <w:szCs w:val="20"/>
              </w:rPr>
              <w:t xml:space="preserve"> S, Sandhu S, et al. </w:t>
            </w:r>
            <w:r w:rsidRPr="005678F0">
              <w:rPr>
                <w:rFonts w:asciiTheme="majorHAnsi" w:hAnsiTheme="majorHAnsi"/>
                <w:sz w:val="20"/>
                <w:szCs w:val="20"/>
              </w:rPr>
              <w:t xml:space="preserve">DNA-repair defects and </w:t>
            </w:r>
            <w:proofErr w:type="spellStart"/>
            <w:r w:rsidRPr="005678F0">
              <w:rPr>
                <w:rFonts w:asciiTheme="majorHAnsi" w:hAnsiTheme="majorHAnsi"/>
                <w:sz w:val="20"/>
                <w:szCs w:val="20"/>
              </w:rPr>
              <w:t>olaparib</w:t>
            </w:r>
            <w:proofErr w:type="spellEnd"/>
            <w:r w:rsidRPr="005678F0">
              <w:rPr>
                <w:rFonts w:asciiTheme="majorHAnsi" w:hAnsiTheme="majorHAnsi"/>
                <w:sz w:val="20"/>
                <w:szCs w:val="20"/>
              </w:rPr>
              <w:t xml:space="preserve"> in metastatic prostate cancer</w:t>
            </w:r>
            <w:r w:rsidRPr="005678F0">
              <w:rPr>
                <w:rFonts w:asciiTheme="majorHAnsi" w:hAnsiTheme="majorHAnsi" w:cs="Arial"/>
                <w:sz w:val="20"/>
                <w:szCs w:val="20"/>
              </w:rPr>
              <w:t xml:space="preserve">. </w:t>
            </w:r>
            <w:r w:rsidRPr="005678F0">
              <w:rPr>
                <w:rFonts w:asciiTheme="majorHAnsi" w:hAnsiTheme="majorHAnsi" w:cs="Arial"/>
                <w:i/>
                <w:iCs/>
                <w:sz w:val="20"/>
                <w:szCs w:val="20"/>
              </w:rPr>
              <w:t>N Engl J Med</w:t>
            </w:r>
            <w:r w:rsidRPr="005678F0">
              <w:rPr>
                <w:rFonts w:asciiTheme="majorHAnsi" w:hAnsiTheme="majorHAnsi" w:cs="Arial"/>
                <w:sz w:val="20"/>
                <w:szCs w:val="20"/>
              </w:rPr>
              <w:t xml:space="preserve">. </w:t>
            </w:r>
            <w:proofErr w:type="gramStart"/>
            <w:r w:rsidRPr="005678F0">
              <w:rPr>
                <w:rFonts w:asciiTheme="majorHAnsi" w:hAnsiTheme="majorHAnsi" w:cs="Arial"/>
                <w:sz w:val="20"/>
                <w:szCs w:val="20"/>
              </w:rPr>
              <w:t>2015;373:1697</w:t>
            </w:r>
            <w:proofErr w:type="gramEnd"/>
            <w:r w:rsidRPr="005678F0">
              <w:rPr>
                <w:rFonts w:asciiTheme="majorHAnsi" w:hAnsiTheme="majorHAnsi" w:cs="Arial"/>
                <w:sz w:val="20"/>
                <w:szCs w:val="20"/>
              </w:rPr>
              <w:t xml:space="preserve">-1708. </w:t>
            </w:r>
          </w:p>
          <w:p w14:paraId="4AF965AB" w14:textId="77777777" w:rsidR="00C83C35" w:rsidRPr="005678F0" w:rsidRDefault="00C83C35" w:rsidP="00E2016B">
            <w:pPr>
              <w:pStyle w:val="ListParagraph"/>
              <w:widowControl/>
              <w:numPr>
                <w:ilvl w:val="0"/>
                <w:numId w:val="14"/>
              </w:numPr>
              <w:autoSpaceDE/>
              <w:autoSpaceDN/>
              <w:contextualSpacing/>
              <w:rPr>
                <w:rFonts w:asciiTheme="majorHAnsi" w:hAnsiTheme="majorHAnsi" w:cs="Arial"/>
                <w:sz w:val="20"/>
                <w:szCs w:val="20"/>
              </w:rPr>
            </w:pPr>
            <w:proofErr w:type="spellStart"/>
            <w:r w:rsidRPr="005678F0">
              <w:rPr>
                <w:rFonts w:asciiTheme="majorHAnsi" w:hAnsiTheme="majorHAnsi" w:cs="Arial"/>
                <w:sz w:val="20"/>
                <w:szCs w:val="20"/>
                <w:lang w:val="fr-FR"/>
              </w:rPr>
              <w:t>Fong</w:t>
            </w:r>
            <w:proofErr w:type="spellEnd"/>
            <w:r w:rsidRPr="005678F0">
              <w:rPr>
                <w:rFonts w:asciiTheme="majorHAnsi" w:hAnsiTheme="majorHAnsi" w:cs="Arial"/>
                <w:sz w:val="20"/>
                <w:szCs w:val="20"/>
                <w:lang w:val="fr-FR"/>
              </w:rPr>
              <w:t xml:space="preserve"> PC, Boss DS, Yap TA, et al. </w:t>
            </w:r>
            <w:r w:rsidRPr="005678F0">
              <w:rPr>
                <w:rFonts w:asciiTheme="majorHAnsi" w:hAnsiTheme="majorHAnsi" w:cs="Arial"/>
                <w:sz w:val="20"/>
                <w:szCs w:val="20"/>
              </w:rPr>
              <w:t xml:space="preserve">Inhibition of poly (ADP-ribose) polymerase in tumors from </w:t>
            </w:r>
            <w:r w:rsidRPr="005678F0">
              <w:rPr>
                <w:rFonts w:asciiTheme="majorHAnsi" w:hAnsiTheme="majorHAnsi" w:cs="Arial"/>
                <w:i/>
                <w:iCs/>
                <w:sz w:val="20"/>
                <w:szCs w:val="20"/>
              </w:rPr>
              <w:t>BRCA</w:t>
            </w:r>
            <w:r w:rsidRPr="005678F0">
              <w:rPr>
                <w:rFonts w:asciiTheme="majorHAnsi" w:hAnsiTheme="majorHAnsi" w:cs="Arial"/>
                <w:sz w:val="20"/>
                <w:szCs w:val="20"/>
              </w:rPr>
              <w:t xml:space="preserve"> mutation carriers. </w:t>
            </w:r>
            <w:r w:rsidRPr="005678F0">
              <w:rPr>
                <w:rFonts w:asciiTheme="majorHAnsi" w:hAnsiTheme="majorHAnsi" w:cs="Arial"/>
                <w:i/>
                <w:iCs/>
                <w:sz w:val="20"/>
                <w:szCs w:val="20"/>
              </w:rPr>
              <w:t>N Engl J Med</w:t>
            </w:r>
            <w:r w:rsidRPr="005678F0">
              <w:rPr>
                <w:rFonts w:asciiTheme="majorHAnsi" w:hAnsiTheme="majorHAnsi" w:cs="Arial"/>
                <w:sz w:val="20"/>
                <w:szCs w:val="20"/>
              </w:rPr>
              <w:t>. 2009;361(2):123-134.</w:t>
            </w:r>
          </w:p>
          <w:p w14:paraId="4AF41A61" w14:textId="77777777" w:rsidR="00C83C35" w:rsidRPr="005678F0" w:rsidRDefault="00C83C35" w:rsidP="00E2016B">
            <w:pPr>
              <w:pStyle w:val="ListParagraph"/>
              <w:widowControl/>
              <w:numPr>
                <w:ilvl w:val="0"/>
                <w:numId w:val="14"/>
              </w:numPr>
              <w:autoSpaceDE/>
              <w:autoSpaceDN/>
              <w:contextualSpacing/>
              <w:rPr>
                <w:rFonts w:asciiTheme="majorHAnsi" w:hAnsiTheme="majorHAnsi" w:cs="Arial"/>
                <w:sz w:val="20"/>
                <w:szCs w:val="20"/>
              </w:rPr>
            </w:pPr>
            <w:r w:rsidRPr="005678F0">
              <w:rPr>
                <w:rFonts w:asciiTheme="majorHAnsi" w:hAnsiTheme="majorHAnsi" w:cs="Arial"/>
                <w:sz w:val="20"/>
                <w:szCs w:val="20"/>
              </w:rPr>
              <w:t xml:space="preserve">Eeles RA, </w:t>
            </w:r>
            <w:proofErr w:type="spellStart"/>
            <w:r w:rsidRPr="005678F0">
              <w:rPr>
                <w:rFonts w:asciiTheme="majorHAnsi" w:hAnsiTheme="majorHAnsi" w:cs="Arial"/>
                <w:sz w:val="20"/>
                <w:szCs w:val="20"/>
              </w:rPr>
              <w:t>Dearnaley</w:t>
            </w:r>
            <w:proofErr w:type="spellEnd"/>
            <w:r w:rsidRPr="005678F0">
              <w:rPr>
                <w:rFonts w:asciiTheme="majorHAnsi" w:hAnsiTheme="majorHAnsi" w:cs="Arial"/>
                <w:sz w:val="20"/>
                <w:szCs w:val="20"/>
              </w:rPr>
              <w:t xml:space="preserve"> DP, Ardern-Jones A, et al. Familial prostate cancer: the evidence and the Cancer Research Campaign/British Prostate Group (CRC/BPG) UK Familial Prostate Cancer Study. </w:t>
            </w:r>
            <w:r w:rsidRPr="005678F0">
              <w:rPr>
                <w:rFonts w:asciiTheme="majorHAnsi" w:hAnsiTheme="majorHAnsi" w:cs="Arial"/>
                <w:i/>
                <w:iCs/>
                <w:sz w:val="20"/>
                <w:szCs w:val="20"/>
              </w:rPr>
              <w:t>Br J Urol</w:t>
            </w:r>
            <w:r w:rsidRPr="005678F0">
              <w:rPr>
                <w:rFonts w:asciiTheme="majorHAnsi" w:hAnsiTheme="majorHAnsi" w:cs="Arial"/>
                <w:sz w:val="20"/>
                <w:szCs w:val="20"/>
              </w:rPr>
              <w:t>. 1997;79 Suppl 1:8-14.</w:t>
            </w:r>
          </w:p>
          <w:p w14:paraId="40E45587" w14:textId="77777777" w:rsidR="00C83C35" w:rsidRPr="005678F0" w:rsidRDefault="00C83C35" w:rsidP="00E2016B">
            <w:pPr>
              <w:pStyle w:val="ListParagraph"/>
              <w:widowControl/>
              <w:numPr>
                <w:ilvl w:val="0"/>
                <w:numId w:val="14"/>
              </w:numPr>
              <w:autoSpaceDE/>
              <w:autoSpaceDN/>
              <w:contextualSpacing/>
              <w:rPr>
                <w:rFonts w:asciiTheme="majorHAnsi" w:hAnsiTheme="majorHAnsi" w:cs="Arial"/>
                <w:sz w:val="20"/>
                <w:szCs w:val="20"/>
              </w:rPr>
            </w:pPr>
            <w:r w:rsidRPr="005678F0">
              <w:rPr>
                <w:rFonts w:asciiTheme="majorHAnsi" w:hAnsiTheme="majorHAnsi" w:cs="Arial"/>
                <w:sz w:val="20"/>
                <w:szCs w:val="20"/>
              </w:rPr>
              <w:t xml:space="preserve">US Food and Drug Administration (FDA). FDA approves </w:t>
            </w:r>
            <w:proofErr w:type="spellStart"/>
            <w:r w:rsidRPr="005678F0">
              <w:rPr>
                <w:rFonts w:asciiTheme="majorHAnsi" w:hAnsiTheme="majorHAnsi" w:cs="Arial"/>
                <w:sz w:val="20"/>
                <w:szCs w:val="20"/>
              </w:rPr>
              <w:t>olaparib</w:t>
            </w:r>
            <w:proofErr w:type="spellEnd"/>
            <w:r w:rsidRPr="005678F0">
              <w:rPr>
                <w:rFonts w:asciiTheme="majorHAnsi" w:hAnsiTheme="majorHAnsi" w:cs="Arial"/>
                <w:sz w:val="20"/>
                <w:szCs w:val="20"/>
              </w:rPr>
              <w:t xml:space="preserve"> for HRR gene-mutated metastatic castration-resistant prostate cancer. Published May 19, 2020. Accessed August 14, 2024. Available at: </w:t>
            </w:r>
            <w:hyperlink r:id="rId13" w:history="1">
              <w:r w:rsidRPr="005678F0">
                <w:rPr>
                  <w:rStyle w:val="Hyperlink"/>
                  <w:rFonts w:asciiTheme="majorHAnsi" w:hAnsiTheme="majorHAnsi" w:cs="Arial"/>
                  <w:sz w:val="20"/>
                  <w:szCs w:val="20"/>
                </w:rPr>
                <w:t>https://www.fda.gov/drugs/resources-information-approved-drugs/fda-approves-olaparib-hrr-gene-mutated-metastatic-castration-resistant-prostate-cancer</w:t>
              </w:r>
            </w:hyperlink>
          </w:p>
          <w:p w14:paraId="01AFB96F" w14:textId="77777777" w:rsidR="00C83C35" w:rsidRPr="005678F0" w:rsidRDefault="00C83C35" w:rsidP="00F94D96">
            <w:pPr>
              <w:pStyle w:val="ListParagraph"/>
              <w:numPr>
                <w:ilvl w:val="0"/>
                <w:numId w:val="14"/>
              </w:numPr>
              <w:rPr>
                <w:rFonts w:asciiTheme="majorHAnsi" w:hAnsiTheme="majorHAnsi" w:cs="Arial"/>
                <w:sz w:val="20"/>
                <w:szCs w:val="20"/>
              </w:rPr>
            </w:pPr>
            <w:r w:rsidRPr="005678F0">
              <w:rPr>
                <w:rFonts w:asciiTheme="majorHAnsi" w:hAnsiTheme="majorHAnsi" w:cs="Arial"/>
                <w:sz w:val="20"/>
                <w:szCs w:val="20"/>
              </w:rPr>
              <w:t>LYNPARZA</w:t>
            </w:r>
            <w:r w:rsidRPr="005678F0">
              <w:rPr>
                <w:rFonts w:asciiTheme="majorHAnsi" w:hAnsiTheme="majorHAnsi" w:cs="Arial"/>
                <w:sz w:val="20"/>
                <w:szCs w:val="20"/>
                <w:vertAlign w:val="superscript"/>
              </w:rPr>
              <w:t>®</w:t>
            </w:r>
            <w:r w:rsidRPr="005678F0">
              <w:rPr>
                <w:rFonts w:asciiTheme="majorHAnsi" w:hAnsiTheme="majorHAnsi" w:cs="Arial"/>
                <w:sz w:val="20"/>
                <w:szCs w:val="20"/>
              </w:rPr>
              <w:t xml:space="preserve"> (</w:t>
            </w:r>
            <w:proofErr w:type="spellStart"/>
            <w:r w:rsidRPr="005678F0">
              <w:rPr>
                <w:rFonts w:asciiTheme="majorHAnsi" w:hAnsiTheme="majorHAnsi" w:cs="Arial"/>
                <w:sz w:val="20"/>
                <w:szCs w:val="20"/>
              </w:rPr>
              <w:t>olaparib</w:t>
            </w:r>
            <w:proofErr w:type="spellEnd"/>
            <w:r w:rsidRPr="005678F0">
              <w:rPr>
                <w:rFonts w:asciiTheme="majorHAnsi" w:hAnsiTheme="majorHAnsi" w:cs="Arial"/>
                <w:sz w:val="20"/>
                <w:szCs w:val="20"/>
              </w:rPr>
              <w:t>) [prescribing information]. Wilmington, DE: AstraZeneca Pharmaceuticals LP; 2023.</w:t>
            </w:r>
          </w:p>
          <w:p w14:paraId="528DA1A6" w14:textId="77777777" w:rsidR="00C83C35" w:rsidRPr="005678F0" w:rsidRDefault="00C83C35" w:rsidP="00F94D96">
            <w:pPr>
              <w:pStyle w:val="ListParagraph"/>
              <w:widowControl/>
              <w:numPr>
                <w:ilvl w:val="0"/>
                <w:numId w:val="14"/>
              </w:numPr>
              <w:autoSpaceDE/>
              <w:autoSpaceDN/>
              <w:contextualSpacing/>
              <w:rPr>
                <w:rFonts w:asciiTheme="majorHAnsi" w:hAnsiTheme="majorHAnsi" w:cs="Arial"/>
                <w:sz w:val="20"/>
                <w:szCs w:val="20"/>
              </w:rPr>
            </w:pPr>
            <w:r w:rsidRPr="005678F0">
              <w:rPr>
                <w:rFonts w:asciiTheme="majorHAnsi" w:hAnsiTheme="majorHAnsi" w:cs="Arial"/>
                <w:sz w:val="20"/>
                <w:szCs w:val="20"/>
              </w:rPr>
              <w:t xml:space="preserve">Shah S, </w:t>
            </w:r>
            <w:proofErr w:type="spellStart"/>
            <w:r w:rsidRPr="005678F0">
              <w:rPr>
                <w:rFonts w:asciiTheme="majorHAnsi" w:hAnsiTheme="majorHAnsi" w:cs="Arial"/>
                <w:sz w:val="20"/>
                <w:szCs w:val="20"/>
              </w:rPr>
              <w:t>Rachmat</w:t>
            </w:r>
            <w:proofErr w:type="spellEnd"/>
            <w:r w:rsidRPr="005678F0">
              <w:rPr>
                <w:rFonts w:asciiTheme="majorHAnsi" w:hAnsiTheme="majorHAnsi" w:cs="Arial"/>
                <w:sz w:val="20"/>
                <w:szCs w:val="20"/>
              </w:rPr>
              <w:t xml:space="preserve"> R, </w:t>
            </w:r>
            <w:proofErr w:type="spellStart"/>
            <w:r w:rsidRPr="005678F0">
              <w:rPr>
                <w:rFonts w:asciiTheme="majorHAnsi" w:hAnsiTheme="majorHAnsi" w:cs="Arial"/>
                <w:sz w:val="20"/>
                <w:szCs w:val="20"/>
              </w:rPr>
              <w:t>Enyioma</w:t>
            </w:r>
            <w:proofErr w:type="spellEnd"/>
            <w:r w:rsidRPr="005678F0">
              <w:rPr>
                <w:rFonts w:asciiTheme="majorHAnsi" w:hAnsiTheme="majorHAnsi" w:cs="Arial"/>
                <w:sz w:val="20"/>
                <w:szCs w:val="20"/>
              </w:rPr>
              <w:t xml:space="preserve"> S, Ghose A, </w:t>
            </w:r>
            <w:proofErr w:type="spellStart"/>
            <w:r w:rsidRPr="005678F0">
              <w:rPr>
                <w:rFonts w:asciiTheme="majorHAnsi" w:hAnsiTheme="majorHAnsi" w:cs="Arial"/>
                <w:sz w:val="20"/>
                <w:szCs w:val="20"/>
              </w:rPr>
              <w:t>Revythis</w:t>
            </w:r>
            <w:proofErr w:type="spellEnd"/>
            <w:r w:rsidRPr="005678F0">
              <w:rPr>
                <w:rFonts w:asciiTheme="majorHAnsi" w:hAnsiTheme="majorHAnsi" w:cs="Arial"/>
                <w:sz w:val="20"/>
                <w:szCs w:val="20"/>
              </w:rPr>
              <w:t xml:space="preserve"> A, </w:t>
            </w:r>
            <w:proofErr w:type="spellStart"/>
            <w:r w:rsidRPr="005678F0">
              <w:rPr>
                <w:rFonts w:asciiTheme="majorHAnsi" w:hAnsiTheme="majorHAnsi" w:cs="Arial"/>
                <w:sz w:val="20"/>
                <w:szCs w:val="20"/>
              </w:rPr>
              <w:t>Boussios</w:t>
            </w:r>
            <w:proofErr w:type="spellEnd"/>
            <w:r w:rsidRPr="005678F0">
              <w:rPr>
                <w:rFonts w:asciiTheme="majorHAnsi" w:hAnsiTheme="majorHAnsi" w:cs="Arial"/>
                <w:sz w:val="20"/>
                <w:szCs w:val="20"/>
              </w:rPr>
              <w:t xml:space="preserve"> S. </w:t>
            </w:r>
            <w:r w:rsidRPr="005678F0">
              <w:rPr>
                <w:rFonts w:asciiTheme="majorHAnsi" w:hAnsiTheme="majorHAnsi" w:cs="Arial"/>
                <w:i/>
                <w:iCs/>
                <w:sz w:val="20"/>
                <w:szCs w:val="20"/>
              </w:rPr>
              <w:t>BRCA</w:t>
            </w:r>
            <w:r w:rsidRPr="005678F0">
              <w:rPr>
                <w:rFonts w:asciiTheme="majorHAnsi" w:hAnsiTheme="majorHAnsi" w:cs="Arial"/>
                <w:sz w:val="20"/>
                <w:szCs w:val="20"/>
              </w:rPr>
              <w:t xml:space="preserve"> mutations in prostate cancer: assessment, </w:t>
            </w:r>
            <w:proofErr w:type="gramStart"/>
            <w:r w:rsidRPr="005678F0">
              <w:rPr>
                <w:rFonts w:asciiTheme="majorHAnsi" w:hAnsiTheme="majorHAnsi" w:cs="Arial"/>
                <w:sz w:val="20"/>
                <w:szCs w:val="20"/>
              </w:rPr>
              <w:t>implications</w:t>
            </w:r>
            <w:proofErr w:type="gramEnd"/>
            <w:r w:rsidRPr="005678F0">
              <w:rPr>
                <w:rFonts w:asciiTheme="majorHAnsi" w:hAnsiTheme="majorHAnsi" w:cs="Arial"/>
                <w:sz w:val="20"/>
                <w:szCs w:val="20"/>
              </w:rPr>
              <w:t xml:space="preserve"> and treatment considerations. </w:t>
            </w:r>
            <w:r w:rsidRPr="005678F0">
              <w:rPr>
                <w:rFonts w:asciiTheme="majorHAnsi" w:hAnsiTheme="majorHAnsi" w:cs="Arial"/>
                <w:i/>
                <w:iCs/>
                <w:sz w:val="20"/>
                <w:szCs w:val="20"/>
              </w:rPr>
              <w:t>Int</w:t>
            </w:r>
            <w:r w:rsidRPr="005678F0">
              <w:rPr>
                <w:rFonts w:asciiTheme="majorHAnsi" w:hAnsiTheme="majorHAnsi" w:cs="Arial"/>
                <w:sz w:val="20"/>
                <w:szCs w:val="20"/>
              </w:rPr>
              <w:t xml:space="preserve"> </w:t>
            </w:r>
            <w:r w:rsidRPr="005678F0">
              <w:rPr>
                <w:rFonts w:asciiTheme="majorHAnsi" w:hAnsiTheme="majorHAnsi" w:cs="Arial"/>
                <w:i/>
                <w:iCs/>
                <w:sz w:val="20"/>
                <w:szCs w:val="20"/>
              </w:rPr>
              <w:t>J Mol Sci</w:t>
            </w:r>
            <w:r w:rsidRPr="005678F0">
              <w:rPr>
                <w:rFonts w:asciiTheme="majorHAnsi" w:hAnsiTheme="majorHAnsi" w:cs="Arial"/>
                <w:sz w:val="20"/>
                <w:szCs w:val="20"/>
              </w:rPr>
              <w:t>. 2021;22(23):12628.</w:t>
            </w:r>
          </w:p>
          <w:p w14:paraId="42CA8F57" w14:textId="77777777" w:rsidR="00C83C35" w:rsidRPr="005678F0" w:rsidRDefault="00C83C35" w:rsidP="00F94D96">
            <w:pPr>
              <w:pStyle w:val="ListParagraph"/>
              <w:widowControl/>
              <w:numPr>
                <w:ilvl w:val="0"/>
                <w:numId w:val="14"/>
              </w:numPr>
              <w:autoSpaceDE/>
              <w:autoSpaceDN/>
              <w:contextualSpacing/>
              <w:rPr>
                <w:rFonts w:asciiTheme="majorHAnsi" w:hAnsiTheme="majorHAnsi" w:cs="Arial"/>
                <w:sz w:val="20"/>
                <w:szCs w:val="20"/>
              </w:rPr>
            </w:pPr>
            <w:r w:rsidRPr="005678F0">
              <w:rPr>
                <w:rFonts w:asciiTheme="majorHAnsi" w:hAnsiTheme="majorHAnsi" w:cs="Arial"/>
                <w:sz w:val="20"/>
                <w:szCs w:val="20"/>
              </w:rPr>
              <w:t xml:space="preserve">de Bono J, Mateo J, </w:t>
            </w:r>
            <w:proofErr w:type="spellStart"/>
            <w:r w:rsidRPr="005678F0">
              <w:rPr>
                <w:rFonts w:asciiTheme="majorHAnsi" w:hAnsiTheme="majorHAnsi" w:cs="Arial"/>
                <w:sz w:val="20"/>
                <w:szCs w:val="20"/>
              </w:rPr>
              <w:t>Fizazi</w:t>
            </w:r>
            <w:proofErr w:type="spellEnd"/>
            <w:r w:rsidRPr="005678F0">
              <w:rPr>
                <w:rFonts w:asciiTheme="majorHAnsi" w:hAnsiTheme="majorHAnsi" w:cs="Arial"/>
                <w:sz w:val="20"/>
                <w:szCs w:val="20"/>
              </w:rPr>
              <w:t xml:space="preserve"> K, et al. Olaparib for metastatic castration-resistant prostate cancer.</w:t>
            </w:r>
            <w:r w:rsidRPr="005678F0">
              <w:rPr>
                <w:rFonts w:asciiTheme="majorHAnsi" w:hAnsiTheme="majorHAnsi"/>
                <w:sz w:val="20"/>
                <w:szCs w:val="20"/>
              </w:rPr>
              <w:t xml:space="preserve"> </w:t>
            </w:r>
            <w:r w:rsidRPr="005678F0">
              <w:rPr>
                <w:rFonts w:asciiTheme="majorHAnsi" w:hAnsiTheme="majorHAnsi" w:cs="Arial"/>
                <w:i/>
                <w:iCs/>
                <w:sz w:val="20"/>
                <w:szCs w:val="20"/>
              </w:rPr>
              <w:t>N Engl J Med</w:t>
            </w:r>
            <w:r w:rsidRPr="005678F0">
              <w:rPr>
                <w:rFonts w:asciiTheme="majorHAnsi" w:hAnsiTheme="majorHAnsi" w:cs="Arial"/>
                <w:sz w:val="20"/>
                <w:szCs w:val="20"/>
              </w:rPr>
              <w:t xml:space="preserve">. </w:t>
            </w:r>
            <w:proofErr w:type="gramStart"/>
            <w:r w:rsidRPr="005678F0">
              <w:rPr>
                <w:rFonts w:asciiTheme="majorHAnsi" w:hAnsiTheme="majorHAnsi" w:cs="Arial"/>
                <w:sz w:val="20"/>
                <w:szCs w:val="20"/>
              </w:rPr>
              <w:t>2020;382:2091</w:t>
            </w:r>
            <w:proofErr w:type="gramEnd"/>
            <w:r w:rsidRPr="005678F0">
              <w:rPr>
                <w:rFonts w:asciiTheme="majorHAnsi" w:hAnsiTheme="majorHAnsi" w:cs="Arial"/>
                <w:sz w:val="20"/>
                <w:szCs w:val="20"/>
              </w:rPr>
              <w:t>-2102.</w:t>
            </w:r>
          </w:p>
          <w:p w14:paraId="343326B7" w14:textId="77777777" w:rsidR="00C83C35" w:rsidRPr="005678F0" w:rsidRDefault="00C83C35" w:rsidP="004802BC">
            <w:pPr>
              <w:pStyle w:val="ListParagraph"/>
              <w:numPr>
                <w:ilvl w:val="0"/>
                <w:numId w:val="14"/>
              </w:numPr>
              <w:contextualSpacing/>
              <w:rPr>
                <w:rFonts w:asciiTheme="majorHAnsi" w:hAnsiTheme="majorHAnsi" w:cs="Arial"/>
                <w:sz w:val="20"/>
                <w:szCs w:val="20"/>
              </w:rPr>
            </w:pPr>
            <w:r w:rsidRPr="005678F0">
              <w:rPr>
                <w:rFonts w:asciiTheme="majorHAnsi" w:hAnsiTheme="majorHAnsi" w:cs="Arial"/>
                <w:sz w:val="20"/>
                <w:szCs w:val="20"/>
              </w:rPr>
              <w:t xml:space="preserve">Clarke NW, Armstrong AJ, </w:t>
            </w:r>
            <w:proofErr w:type="spellStart"/>
            <w:r w:rsidRPr="005678F0">
              <w:rPr>
                <w:rFonts w:asciiTheme="majorHAnsi" w:hAnsiTheme="majorHAnsi" w:cs="Arial"/>
                <w:sz w:val="20"/>
                <w:szCs w:val="20"/>
              </w:rPr>
              <w:t>Thiery-Vuillemin</w:t>
            </w:r>
            <w:proofErr w:type="spellEnd"/>
            <w:r w:rsidRPr="005678F0">
              <w:rPr>
                <w:rFonts w:asciiTheme="majorHAnsi" w:hAnsiTheme="majorHAnsi" w:cs="Arial"/>
                <w:sz w:val="20"/>
                <w:szCs w:val="20"/>
              </w:rPr>
              <w:t xml:space="preserve"> A, et al. Abiraterone and </w:t>
            </w:r>
            <w:proofErr w:type="spellStart"/>
            <w:r w:rsidRPr="005678F0">
              <w:rPr>
                <w:rFonts w:asciiTheme="majorHAnsi" w:hAnsiTheme="majorHAnsi" w:cs="Arial"/>
                <w:sz w:val="20"/>
                <w:szCs w:val="20"/>
              </w:rPr>
              <w:t>olaparib</w:t>
            </w:r>
            <w:proofErr w:type="spellEnd"/>
            <w:r w:rsidRPr="005678F0">
              <w:rPr>
                <w:rFonts w:asciiTheme="majorHAnsi" w:hAnsiTheme="majorHAnsi" w:cs="Arial"/>
                <w:sz w:val="20"/>
                <w:szCs w:val="20"/>
              </w:rPr>
              <w:t xml:space="preserve"> for metastatic castration-resistant prostate cancer. </w:t>
            </w:r>
            <w:r w:rsidRPr="005678F0">
              <w:rPr>
                <w:rFonts w:asciiTheme="majorHAnsi" w:hAnsiTheme="majorHAnsi" w:cs="Arial"/>
                <w:i/>
                <w:iCs/>
                <w:sz w:val="20"/>
                <w:szCs w:val="20"/>
              </w:rPr>
              <w:t>NEJM Evid</w:t>
            </w:r>
            <w:r w:rsidRPr="005678F0">
              <w:rPr>
                <w:rFonts w:asciiTheme="majorHAnsi" w:hAnsiTheme="majorHAnsi" w:cs="Arial"/>
                <w:sz w:val="20"/>
                <w:szCs w:val="20"/>
              </w:rPr>
              <w:t>. 2022;1(9).</w:t>
            </w:r>
          </w:p>
          <w:p w14:paraId="7935EC52" w14:textId="0AEFFFC0" w:rsidR="00C83C35" w:rsidRPr="005678F0" w:rsidRDefault="00C83C35" w:rsidP="004802BC">
            <w:pPr>
              <w:pStyle w:val="ListParagraph"/>
              <w:numPr>
                <w:ilvl w:val="0"/>
                <w:numId w:val="14"/>
              </w:numPr>
              <w:contextualSpacing/>
              <w:rPr>
                <w:rFonts w:asciiTheme="majorHAnsi" w:hAnsiTheme="majorHAnsi" w:cs="Arial"/>
                <w:sz w:val="20"/>
                <w:szCs w:val="20"/>
              </w:rPr>
            </w:pPr>
            <w:r w:rsidRPr="005678F0">
              <w:rPr>
                <w:rFonts w:asciiTheme="majorHAnsi" w:hAnsiTheme="majorHAnsi" w:cs="Arial"/>
                <w:sz w:val="20"/>
                <w:szCs w:val="20"/>
              </w:rPr>
              <w:t xml:space="preserve">US Food and Drug Administration (FDA). FDA approves </w:t>
            </w:r>
            <w:proofErr w:type="spellStart"/>
            <w:r w:rsidRPr="005678F0">
              <w:rPr>
                <w:rFonts w:asciiTheme="majorHAnsi" w:hAnsiTheme="majorHAnsi" w:cs="Arial"/>
                <w:sz w:val="20"/>
                <w:szCs w:val="20"/>
              </w:rPr>
              <w:t>olaparib</w:t>
            </w:r>
            <w:proofErr w:type="spellEnd"/>
            <w:r w:rsidRPr="005678F0">
              <w:rPr>
                <w:rFonts w:asciiTheme="majorHAnsi" w:hAnsiTheme="majorHAnsi" w:cs="Arial"/>
                <w:sz w:val="20"/>
                <w:szCs w:val="20"/>
              </w:rPr>
              <w:t xml:space="preserve"> with abiraterone and prednisone (or prednisolone) for </w:t>
            </w:r>
            <w:r w:rsidRPr="005678F0">
              <w:rPr>
                <w:rFonts w:asciiTheme="majorHAnsi" w:hAnsiTheme="majorHAnsi" w:cs="Arial"/>
                <w:i/>
                <w:iCs/>
                <w:sz w:val="20"/>
                <w:szCs w:val="20"/>
              </w:rPr>
              <w:t>BRCA</w:t>
            </w:r>
            <w:r w:rsidRPr="005678F0">
              <w:rPr>
                <w:rFonts w:asciiTheme="majorHAnsi" w:hAnsiTheme="majorHAnsi" w:cs="Arial"/>
                <w:sz w:val="20"/>
                <w:szCs w:val="20"/>
              </w:rPr>
              <w:t xml:space="preserve">-mutated metastatic castration-resistant prostate cancer. Published May 31, 2023. Accessed August 14, 2024. Available at: </w:t>
            </w:r>
            <w:hyperlink r:id="rId14" w:history="1">
              <w:r w:rsidRPr="005678F0">
                <w:rPr>
                  <w:rStyle w:val="Hyperlink"/>
                  <w:rFonts w:asciiTheme="majorHAnsi" w:hAnsiTheme="majorHAnsi" w:cs="Arial"/>
                  <w:sz w:val="20"/>
                  <w:szCs w:val="20"/>
                </w:rPr>
                <w:t>https://www.fda.gov/drugs/drug-approvals-and-databases/fda-approves-olaparib-abiraterone-and-prednisone-or-prednisolone-brca-mutated-metastatic-castration</w:t>
              </w:r>
            </w:hyperlink>
          </w:p>
          <w:p w14:paraId="7A11F6D0" w14:textId="1FE0A4A3" w:rsidR="00C83C35" w:rsidRPr="005678F0" w:rsidRDefault="00C83C35" w:rsidP="004802BC">
            <w:pPr>
              <w:pStyle w:val="ListParagraph"/>
              <w:numPr>
                <w:ilvl w:val="0"/>
                <w:numId w:val="14"/>
              </w:numPr>
              <w:contextualSpacing/>
              <w:rPr>
                <w:rFonts w:asciiTheme="majorHAnsi" w:hAnsiTheme="majorHAnsi" w:cs="Arial"/>
                <w:sz w:val="20"/>
                <w:szCs w:val="20"/>
              </w:rPr>
            </w:pPr>
            <w:r w:rsidRPr="005678F0">
              <w:rPr>
                <w:rFonts w:asciiTheme="majorHAnsi" w:hAnsiTheme="majorHAnsi" w:cs="Arial"/>
                <w:sz w:val="20"/>
                <w:szCs w:val="20"/>
              </w:rPr>
              <w:t>AstraZeneca. LYNPARZA</w:t>
            </w:r>
            <w:r w:rsidRPr="005678F0">
              <w:rPr>
                <w:rFonts w:asciiTheme="majorHAnsi" w:hAnsiTheme="majorHAnsi" w:cs="Arial"/>
                <w:sz w:val="20"/>
                <w:szCs w:val="20"/>
                <w:vertAlign w:val="superscript"/>
              </w:rPr>
              <w:t>®</w:t>
            </w:r>
            <w:r w:rsidRPr="005678F0">
              <w:rPr>
                <w:rFonts w:asciiTheme="majorHAnsi" w:hAnsiTheme="majorHAnsi" w:cs="Arial"/>
                <w:sz w:val="20"/>
                <w:szCs w:val="20"/>
              </w:rPr>
              <w:t xml:space="preserve"> (</w:t>
            </w:r>
            <w:proofErr w:type="spellStart"/>
            <w:r w:rsidRPr="005678F0">
              <w:rPr>
                <w:rFonts w:asciiTheme="majorHAnsi" w:hAnsiTheme="majorHAnsi" w:cs="Arial"/>
                <w:sz w:val="20"/>
                <w:szCs w:val="20"/>
              </w:rPr>
              <w:t>olaparib</w:t>
            </w:r>
            <w:proofErr w:type="spellEnd"/>
            <w:r w:rsidRPr="005678F0">
              <w:rPr>
                <w:rFonts w:asciiTheme="majorHAnsi" w:hAnsiTheme="majorHAnsi" w:cs="Arial"/>
                <w:sz w:val="20"/>
                <w:szCs w:val="20"/>
              </w:rPr>
              <w:t xml:space="preserve">) in combination with abiraterone significantly delayed disease progression in all-comers in </w:t>
            </w:r>
            <w:proofErr w:type="spellStart"/>
            <w:r w:rsidRPr="005678F0">
              <w:rPr>
                <w:rFonts w:asciiTheme="majorHAnsi" w:hAnsiTheme="majorHAnsi" w:cs="Arial"/>
                <w:sz w:val="20"/>
                <w:szCs w:val="20"/>
              </w:rPr>
              <w:t>PROpel</w:t>
            </w:r>
            <w:proofErr w:type="spellEnd"/>
            <w:r w:rsidRPr="005678F0">
              <w:rPr>
                <w:rFonts w:asciiTheme="majorHAnsi" w:hAnsiTheme="majorHAnsi" w:cs="Arial"/>
                <w:sz w:val="20"/>
                <w:szCs w:val="20"/>
              </w:rPr>
              <w:t xml:space="preserve"> Phase III trial in 1st-line metastatic castration-resistant prostate cancer. Published September 24, 2021. Accessed August 14, 2024. Available at: </w:t>
            </w:r>
            <w:hyperlink r:id="rId15" w:history="1">
              <w:r w:rsidRPr="005678F0">
                <w:rPr>
                  <w:rStyle w:val="Hyperlink"/>
                  <w:rFonts w:asciiTheme="majorHAnsi" w:hAnsiTheme="majorHAnsi" w:cs="Arial"/>
                  <w:sz w:val="20"/>
                  <w:szCs w:val="20"/>
                </w:rPr>
                <w:t>https://www.astrazeneca-us.com/media/press-releases/2021/lynparza-olaparib-in-combination-with-abiraterone-significantly-delayed-disease-progression-in-all-comers-in-propel-phase-iii-trial-in-1st-line-metastatic-castration-resistant-prostate-cancer-09242021.html</w:t>
              </w:r>
            </w:hyperlink>
          </w:p>
        </w:tc>
      </w:tr>
    </w:tbl>
    <w:p w14:paraId="6C02121B" w14:textId="067C3918" w:rsidR="007E3923" w:rsidRPr="009B4D2B" w:rsidRDefault="007E3923" w:rsidP="00DC74F4"/>
    <w:bookmarkEnd w:id="0"/>
    <w:bookmarkEnd w:id="1"/>
    <w:sectPr w:rsidR="007E3923" w:rsidRPr="009B4D2B" w:rsidSect="00593B32">
      <w:headerReference w:type="default" r:id="rId16"/>
      <w:footerReference w:type="default" r:id="rId17"/>
      <w:pgSz w:w="15840" w:h="12240" w:orient="landscape"/>
      <w:pgMar w:top="629" w:right="1979" w:bottom="629" w:left="1440" w:header="72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7A195" w14:textId="77777777" w:rsidR="0001059C" w:rsidRPr="00046447" w:rsidRDefault="0001059C" w:rsidP="006A0EB4">
      <w:pPr>
        <w:spacing w:after="0" w:line="240" w:lineRule="auto"/>
      </w:pPr>
      <w:r w:rsidRPr="00046447">
        <w:separator/>
      </w:r>
    </w:p>
  </w:endnote>
  <w:endnote w:type="continuationSeparator" w:id="0">
    <w:p w14:paraId="6A17A4C3" w14:textId="77777777" w:rsidR="0001059C" w:rsidRPr="00046447" w:rsidRDefault="0001059C" w:rsidP="006A0EB4">
      <w:pPr>
        <w:spacing w:after="0" w:line="240" w:lineRule="auto"/>
      </w:pPr>
      <w:r w:rsidRPr="00046447">
        <w:continuationSeparator/>
      </w:r>
    </w:p>
  </w:endnote>
  <w:endnote w:type="continuationNotice" w:id="1">
    <w:p w14:paraId="5A485320" w14:textId="77777777" w:rsidR="0001059C" w:rsidRPr="00046447" w:rsidRDefault="000105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Karla">
    <w:charset w:val="00"/>
    <w:family w:val="auto"/>
    <w:pitch w:val="variable"/>
    <w:sig w:usb0="A00000EF" w:usb1="4000205B"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10000FF" w:usb1="40000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Gotham Book">
    <w:altName w:val="Calibri"/>
    <w:panose1 w:val="00000000000000000000"/>
    <w:charset w:val="00"/>
    <w:family w:val="modern"/>
    <w:notTrueType/>
    <w:pitch w:val="variable"/>
    <w:sig w:usb0="A10000FF" w:usb1="4000005B" w:usb2="00000000" w:usb3="00000000" w:csb0="0000009B"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91AB" w14:textId="0E2011D4" w:rsidR="0089430F" w:rsidRPr="00046447" w:rsidRDefault="0089430F" w:rsidP="00A81303">
    <w:pPr>
      <w:pStyle w:val="Footer"/>
      <w:tabs>
        <w:tab w:val="clear" w:pos="4680"/>
        <w:tab w:val="clear" w:pos="9360"/>
        <w:tab w:val="center" w:pos="8460"/>
      </w:tabs>
      <w:ind w:left="180" w:right="-90"/>
      <w:rPr>
        <w:color w:val="324C61" w:themeColor="text2"/>
      </w:rPr>
    </w:pPr>
    <w:r w:rsidRPr="00046447">
      <w:rPr>
        <w:color w:val="324C61" w:themeColor="text2"/>
      </w:rPr>
      <w:tab/>
    </w:r>
    <w:r w:rsidRPr="00046447">
      <w:rPr>
        <w:color w:val="324C61" w:themeColor="text2"/>
      </w:rPr>
      <w:tab/>
    </w:r>
    <w:r w:rsidRPr="00046447">
      <w:rPr>
        <w:color w:val="324C61" w:themeColor="text2"/>
      </w:rPr>
      <w:tab/>
      <w:t xml:space="preserve">    </w:t>
    </w:r>
    <w:r w:rsidR="00FF10F2" w:rsidRPr="00046447">
      <w:rPr>
        <w:color w:val="324C61" w:themeColor="text2"/>
      </w:rPr>
      <w:t xml:space="preserve"> </w:t>
    </w:r>
    <w:r w:rsidRPr="00046447">
      <w:rPr>
        <w:color w:val="324C61" w:themeColor="text2"/>
      </w:rPr>
      <w:t xml:space="preserve">Page </w:t>
    </w:r>
    <w:r w:rsidRPr="00046447">
      <w:rPr>
        <w:color w:val="324C61" w:themeColor="text2"/>
      </w:rPr>
      <w:fldChar w:fldCharType="begin"/>
    </w:r>
    <w:r w:rsidRPr="00046447">
      <w:rPr>
        <w:color w:val="324C61" w:themeColor="text2"/>
      </w:rPr>
      <w:instrText xml:space="preserve"> PAGE  \* Arabic  \* MERGEFORMAT </w:instrText>
    </w:r>
    <w:r w:rsidRPr="00046447">
      <w:rPr>
        <w:color w:val="324C61" w:themeColor="text2"/>
      </w:rPr>
      <w:fldChar w:fldCharType="separate"/>
    </w:r>
    <w:r w:rsidRPr="00046447">
      <w:rPr>
        <w:color w:val="324C61" w:themeColor="text2"/>
      </w:rPr>
      <w:t>2</w:t>
    </w:r>
    <w:r w:rsidRPr="00046447">
      <w:rPr>
        <w:color w:val="324C61" w:themeColor="text2"/>
      </w:rPr>
      <w:fldChar w:fldCharType="end"/>
    </w:r>
    <w:r w:rsidRPr="00046447">
      <w:rPr>
        <w:color w:val="324C61" w:themeColor="text2"/>
      </w:rPr>
      <w:t xml:space="preserve"> of </w:t>
    </w:r>
    <w:r w:rsidRPr="00046447">
      <w:rPr>
        <w:color w:val="324C61" w:themeColor="text2"/>
      </w:rPr>
      <w:fldChar w:fldCharType="begin"/>
    </w:r>
    <w:r w:rsidRPr="00046447">
      <w:rPr>
        <w:color w:val="324C61" w:themeColor="text2"/>
      </w:rPr>
      <w:instrText xml:space="preserve"> NUMPAGES  \* Arabic  \* MERGEFORMAT </w:instrText>
    </w:r>
    <w:r w:rsidRPr="00046447">
      <w:rPr>
        <w:color w:val="324C61" w:themeColor="text2"/>
      </w:rPr>
      <w:fldChar w:fldCharType="separate"/>
    </w:r>
    <w:r w:rsidRPr="00046447">
      <w:rPr>
        <w:color w:val="324C61" w:themeColor="text2"/>
      </w:rPr>
      <w:t>2</w:t>
    </w:r>
    <w:r w:rsidRPr="00046447">
      <w:rPr>
        <w:color w:val="324C61" w:themeColor="text2"/>
      </w:rPr>
      <w:fldChar w:fldCharType="end"/>
    </w:r>
  </w:p>
  <w:p w14:paraId="5794547F" w14:textId="230E0BBA" w:rsidR="00F27BC1" w:rsidRPr="00046447" w:rsidRDefault="00F27BC1" w:rsidP="00D9383C">
    <w:pPr>
      <w:rPr>
        <w:rFonts w:ascii="Karla" w:hAnsi="Karla"/>
        <w:b/>
        <w:bCs/>
        <w:color w:val="324C61" w:themeColor="text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0B7EB" w14:textId="77777777" w:rsidR="0001059C" w:rsidRPr="00046447" w:rsidRDefault="0001059C" w:rsidP="006A0EB4">
      <w:pPr>
        <w:spacing w:after="0" w:line="240" w:lineRule="auto"/>
      </w:pPr>
      <w:r w:rsidRPr="00046447">
        <w:separator/>
      </w:r>
    </w:p>
  </w:footnote>
  <w:footnote w:type="continuationSeparator" w:id="0">
    <w:p w14:paraId="223A038A" w14:textId="77777777" w:rsidR="0001059C" w:rsidRPr="00046447" w:rsidRDefault="0001059C" w:rsidP="006A0EB4">
      <w:pPr>
        <w:spacing w:after="0" w:line="240" w:lineRule="auto"/>
      </w:pPr>
      <w:r w:rsidRPr="00046447">
        <w:continuationSeparator/>
      </w:r>
    </w:p>
  </w:footnote>
  <w:footnote w:type="continuationNotice" w:id="1">
    <w:p w14:paraId="5B25ED93" w14:textId="77777777" w:rsidR="0001059C" w:rsidRPr="00046447" w:rsidRDefault="000105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5B851" w14:textId="4C130294" w:rsidR="008F6E08" w:rsidRPr="009C6B17" w:rsidRDefault="006409B0" w:rsidP="009C6B17">
    <w:pPr>
      <w:pStyle w:val="Heading1"/>
      <w:tabs>
        <w:tab w:val="left" w:pos="7200"/>
        <w:tab w:val="left" w:pos="7560"/>
        <w:tab w:val="left" w:pos="10440"/>
      </w:tabs>
      <w:ind w:left="2520" w:right="180"/>
      <w:jc w:val="right"/>
      <w:rPr>
        <w:noProof/>
        <w:color w:val="324C61" w:themeColor="text2"/>
        <w:sz w:val="28"/>
        <w:szCs w:val="28"/>
      </w:rPr>
    </w:pPr>
    <w:r w:rsidRPr="006409B0">
      <w:rPr>
        <w:noProof/>
        <w:color w:val="324C61" w:themeColor="text2"/>
        <w:sz w:val="28"/>
        <w:szCs w:val="28"/>
      </w:rPr>
      <w:t>Redefining Care for Prostate Cancer Patients_Dr Efstathiou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1C7C"/>
    <w:multiLevelType w:val="hybridMultilevel"/>
    <w:tmpl w:val="3FFE5F6A"/>
    <w:lvl w:ilvl="0" w:tplc="FB162494">
      <w:start w:val="1"/>
      <w:numFmt w:val="decimal"/>
      <w:lvlText w:val="%1."/>
      <w:lvlJc w:val="left"/>
      <w:pPr>
        <w:ind w:left="-120" w:hanging="360"/>
      </w:pPr>
      <w:rPr>
        <w:rFonts w:hint="default"/>
        <w:i w:val="0"/>
        <w:iCs/>
      </w:rPr>
    </w:lvl>
    <w:lvl w:ilvl="1" w:tplc="04090019" w:tentative="1">
      <w:start w:val="1"/>
      <w:numFmt w:val="lowerLetter"/>
      <w:lvlText w:val="%2."/>
      <w:lvlJc w:val="left"/>
      <w:pPr>
        <w:ind w:left="600" w:hanging="360"/>
      </w:pPr>
    </w:lvl>
    <w:lvl w:ilvl="2" w:tplc="0409001B" w:tentative="1">
      <w:start w:val="1"/>
      <w:numFmt w:val="lowerRoman"/>
      <w:lvlText w:val="%3."/>
      <w:lvlJc w:val="right"/>
      <w:pPr>
        <w:ind w:left="1320" w:hanging="180"/>
      </w:pPr>
    </w:lvl>
    <w:lvl w:ilvl="3" w:tplc="0409000F" w:tentative="1">
      <w:start w:val="1"/>
      <w:numFmt w:val="decimal"/>
      <w:lvlText w:val="%4."/>
      <w:lvlJc w:val="left"/>
      <w:pPr>
        <w:ind w:left="2040" w:hanging="360"/>
      </w:pPr>
    </w:lvl>
    <w:lvl w:ilvl="4" w:tplc="04090019" w:tentative="1">
      <w:start w:val="1"/>
      <w:numFmt w:val="lowerLetter"/>
      <w:lvlText w:val="%5."/>
      <w:lvlJc w:val="left"/>
      <w:pPr>
        <w:ind w:left="2760" w:hanging="360"/>
      </w:pPr>
    </w:lvl>
    <w:lvl w:ilvl="5" w:tplc="0409001B" w:tentative="1">
      <w:start w:val="1"/>
      <w:numFmt w:val="lowerRoman"/>
      <w:lvlText w:val="%6."/>
      <w:lvlJc w:val="right"/>
      <w:pPr>
        <w:ind w:left="3480" w:hanging="180"/>
      </w:pPr>
    </w:lvl>
    <w:lvl w:ilvl="6" w:tplc="0409000F" w:tentative="1">
      <w:start w:val="1"/>
      <w:numFmt w:val="decimal"/>
      <w:lvlText w:val="%7."/>
      <w:lvlJc w:val="left"/>
      <w:pPr>
        <w:ind w:left="4200" w:hanging="360"/>
      </w:pPr>
    </w:lvl>
    <w:lvl w:ilvl="7" w:tplc="04090019" w:tentative="1">
      <w:start w:val="1"/>
      <w:numFmt w:val="lowerLetter"/>
      <w:lvlText w:val="%8."/>
      <w:lvlJc w:val="left"/>
      <w:pPr>
        <w:ind w:left="4920" w:hanging="360"/>
      </w:pPr>
    </w:lvl>
    <w:lvl w:ilvl="8" w:tplc="0409001B" w:tentative="1">
      <w:start w:val="1"/>
      <w:numFmt w:val="lowerRoman"/>
      <w:lvlText w:val="%9."/>
      <w:lvlJc w:val="right"/>
      <w:pPr>
        <w:ind w:left="5640" w:hanging="180"/>
      </w:pPr>
    </w:lvl>
  </w:abstractNum>
  <w:abstractNum w:abstractNumId="1" w15:restartNumberingAfterBreak="0">
    <w:nsid w:val="084F621E"/>
    <w:multiLevelType w:val="hybridMultilevel"/>
    <w:tmpl w:val="B17A0E9A"/>
    <w:lvl w:ilvl="0" w:tplc="7744EF08">
      <w:start w:val="1"/>
      <w:numFmt w:val="decimal"/>
      <w:lvlText w:val="%1."/>
      <w:lvlJc w:val="left"/>
      <w:pPr>
        <w:ind w:left="1160" w:hanging="360"/>
      </w:pPr>
    </w:lvl>
    <w:lvl w:ilvl="1" w:tplc="B62C3134">
      <w:start w:val="1"/>
      <w:numFmt w:val="decimal"/>
      <w:lvlText w:val="%2."/>
      <w:lvlJc w:val="left"/>
      <w:pPr>
        <w:ind w:left="1160" w:hanging="360"/>
      </w:pPr>
    </w:lvl>
    <w:lvl w:ilvl="2" w:tplc="0AF81DDC">
      <w:start w:val="1"/>
      <w:numFmt w:val="decimal"/>
      <w:lvlText w:val="%3."/>
      <w:lvlJc w:val="left"/>
      <w:pPr>
        <w:ind w:left="1160" w:hanging="360"/>
      </w:pPr>
    </w:lvl>
    <w:lvl w:ilvl="3" w:tplc="C80E5590">
      <w:start w:val="1"/>
      <w:numFmt w:val="decimal"/>
      <w:lvlText w:val="%4."/>
      <w:lvlJc w:val="left"/>
      <w:pPr>
        <w:ind w:left="1160" w:hanging="360"/>
      </w:pPr>
    </w:lvl>
    <w:lvl w:ilvl="4" w:tplc="07165BE4">
      <w:start w:val="1"/>
      <w:numFmt w:val="decimal"/>
      <w:lvlText w:val="%5."/>
      <w:lvlJc w:val="left"/>
      <w:pPr>
        <w:ind w:left="1160" w:hanging="360"/>
      </w:pPr>
    </w:lvl>
    <w:lvl w:ilvl="5" w:tplc="C7164132">
      <w:start w:val="1"/>
      <w:numFmt w:val="decimal"/>
      <w:lvlText w:val="%6."/>
      <w:lvlJc w:val="left"/>
      <w:pPr>
        <w:ind w:left="1160" w:hanging="360"/>
      </w:pPr>
    </w:lvl>
    <w:lvl w:ilvl="6" w:tplc="84D6AA06">
      <w:start w:val="1"/>
      <w:numFmt w:val="decimal"/>
      <w:lvlText w:val="%7."/>
      <w:lvlJc w:val="left"/>
      <w:pPr>
        <w:ind w:left="1160" w:hanging="360"/>
      </w:pPr>
    </w:lvl>
    <w:lvl w:ilvl="7" w:tplc="4E9AF648">
      <w:start w:val="1"/>
      <w:numFmt w:val="decimal"/>
      <w:lvlText w:val="%8."/>
      <w:lvlJc w:val="left"/>
      <w:pPr>
        <w:ind w:left="1160" w:hanging="360"/>
      </w:pPr>
    </w:lvl>
    <w:lvl w:ilvl="8" w:tplc="CAACB5DC">
      <w:start w:val="1"/>
      <w:numFmt w:val="decimal"/>
      <w:lvlText w:val="%9."/>
      <w:lvlJc w:val="left"/>
      <w:pPr>
        <w:ind w:left="1160" w:hanging="360"/>
      </w:pPr>
    </w:lvl>
  </w:abstractNum>
  <w:abstractNum w:abstractNumId="2" w15:restartNumberingAfterBreak="0">
    <w:nsid w:val="09A77D79"/>
    <w:multiLevelType w:val="hybridMultilevel"/>
    <w:tmpl w:val="A2B45EDA"/>
    <w:lvl w:ilvl="0" w:tplc="FFFFFFFF">
      <w:start w:val="1"/>
      <w:numFmt w:val="decimal"/>
      <w:lvlText w:val="%1."/>
      <w:lvlJc w:val="left"/>
      <w:pPr>
        <w:ind w:left="540" w:hanging="360"/>
      </w:pPr>
      <w:rPr>
        <w:rFonts w:hint="default"/>
        <w:i w:val="0"/>
        <w:iCs/>
      </w:rPr>
    </w:lvl>
    <w:lvl w:ilvl="1" w:tplc="FFFFFFFF" w:tentative="1">
      <w:start w:val="1"/>
      <w:numFmt w:val="lowerLetter"/>
      <w:lvlText w:val="%2."/>
      <w:lvlJc w:val="left"/>
      <w:pPr>
        <w:ind w:left="1617" w:hanging="360"/>
      </w:pPr>
    </w:lvl>
    <w:lvl w:ilvl="2" w:tplc="FFFFFFFF" w:tentative="1">
      <w:start w:val="1"/>
      <w:numFmt w:val="lowerRoman"/>
      <w:lvlText w:val="%3."/>
      <w:lvlJc w:val="right"/>
      <w:pPr>
        <w:ind w:left="2337" w:hanging="180"/>
      </w:pPr>
    </w:lvl>
    <w:lvl w:ilvl="3" w:tplc="FFFFFFFF" w:tentative="1">
      <w:start w:val="1"/>
      <w:numFmt w:val="decimal"/>
      <w:lvlText w:val="%4."/>
      <w:lvlJc w:val="left"/>
      <w:pPr>
        <w:ind w:left="3057" w:hanging="360"/>
      </w:pPr>
    </w:lvl>
    <w:lvl w:ilvl="4" w:tplc="FFFFFFFF" w:tentative="1">
      <w:start w:val="1"/>
      <w:numFmt w:val="lowerLetter"/>
      <w:lvlText w:val="%5."/>
      <w:lvlJc w:val="left"/>
      <w:pPr>
        <w:ind w:left="3777" w:hanging="360"/>
      </w:pPr>
    </w:lvl>
    <w:lvl w:ilvl="5" w:tplc="FFFFFFFF" w:tentative="1">
      <w:start w:val="1"/>
      <w:numFmt w:val="lowerRoman"/>
      <w:lvlText w:val="%6."/>
      <w:lvlJc w:val="right"/>
      <w:pPr>
        <w:ind w:left="4497" w:hanging="180"/>
      </w:pPr>
    </w:lvl>
    <w:lvl w:ilvl="6" w:tplc="FFFFFFFF" w:tentative="1">
      <w:start w:val="1"/>
      <w:numFmt w:val="decimal"/>
      <w:lvlText w:val="%7."/>
      <w:lvlJc w:val="left"/>
      <w:pPr>
        <w:ind w:left="5217" w:hanging="360"/>
      </w:pPr>
    </w:lvl>
    <w:lvl w:ilvl="7" w:tplc="FFFFFFFF" w:tentative="1">
      <w:start w:val="1"/>
      <w:numFmt w:val="lowerLetter"/>
      <w:lvlText w:val="%8."/>
      <w:lvlJc w:val="left"/>
      <w:pPr>
        <w:ind w:left="5937" w:hanging="360"/>
      </w:pPr>
    </w:lvl>
    <w:lvl w:ilvl="8" w:tplc="FFFFFFFF" w:tentative="1">
      <w:start w:val="1"/>
      <w:numFmt w:val="lowerRoman"/>
      <w:lvlText w:val="%9."/>
      <w:lvlJc w:val="right"/>
      <w:pPr>
        <w:ind w:left="6657" w:hanging="180"/>
      </w:pPr>
    </w:lvl>
  </w:abstractNum>
  <w:abstractNum w:abstractNumId="3" w15:restartNumberingAfterBreak="0">
    <w:nsid w:val="0D9D7A4B"/>
    <w:multiLevelType w:val="hybridMultilevel"/>
    <w:tmpl w:val="EB608280"/>
    <w:lvl w:ilvl="0" w:tplc="5008B04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83C7B6A"/>
    <w:multiLevelType w:val="multilevel"/>
    <w:tmpl w:val="CD1C6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74086"/>
    <w:multiLevelType w:val="hybridMultilevel"/>
    <w:tmpl w:val="17A8F42A"/>
    <w:lvl w:ilvl="0" w:tplc="76E8321E">
      <w:start w:val="1"/>
      <w:numFmt w:val="decimal"/>
      <w:lvlText w:val="%1."/>
      <w:lvlJc w:val="left"/>
      <w:pPr>
        <w:ind w:left="1160" w:hanging="360"/>
      </w:pPr>
    </w:lvl>
    <w:lvl w:ilvl="1" w:tplc="37A2B824">
      <w:start w:val="1"/>
      <w:numFmt w:val="decimal"/>
      <w:lvlText w:val="%2."/>
      <w:lvlJc w:val="left"/>
      <w:pPr>
        <w:ind w:left="1160" w:hanging="360"/>
      </w:pPr>
    </w:lvl>
    <w:lvl w:ilvl="2" w:tplc="DCD0AA6A">
      <w:start w:val="1"/>
      <w:numFmt w:val="decimal"/>
      <w:lvlText w:val="%3."/>
      <w:lvlJc w:val="left"/>
      <w:pPr>
        <w:ind w:left="1160" w:hanging="360"/>
      </w:pPr>
    </w:lvl>
    <w:lvl w:ilvl="3" w:tplc="11BE1DD4">
      <w:start w:val="1"/>
      <w:numFmt w:val="decimal"/>
      <w:lvlText w:val="%4."/>
      <w:lvlJc w:val="left"/>
      <w:pPr>
        <w:ind w:left="1160" w:hanging="360"/>
      </w:pPr>
    </w:lvl>
    <w:lvl w:ilvl="4" w:tplc="C0669FE6">
      <w:start w:val="1"/>
      <w:numFmt w:val="decimal"/>
      <w:lvlText w:val="%5."/>
      <w:lvlJc w:val="left"/>
      <w:pPr>
        <w:ind w:left="1160" w:hanging="360"/>
      </w:pPr>
    </w:lvl>
    <w:lvl w:ilvl="5" w:tplc="DC902E1E">
      <w:start w:val="1"/>
      <w:numFmt w:val="decimal"/>
      <w:lvlText w:val="%6."/>
      <w:lvlJc w:val="left"/>
      <w:pPr>
        <w:ind w:left="1160" w:hanging="360"/>
      </w:pPr>
    </w:lvl>
    <w:lvl w:ilvl="6" w:tplc="B59E0CCE">
      <w:start w:val="1"/>
      <w:numFmt w:val="decimal"/>
      <w:lvlText w:val="%7."/>
      <w:lvlJc w:val="left"/>
      <w:pPr>
        <w:ind w:left="1160" w:hanging="360"/>
      </w:pPr>
    </w:lvl>
    <w:lvl w:ilvl="7" w:tplc="86D05B04">
      <w:start w:val="1"/>
      <w:numFmt w:val="decimal"/>
      <w:lvlText w:val="%8."/>
      <w:lvlJc w:val="left"/>
      <w:pPr>
        <w:ind w:left="1160" w:hanging="360"/>
      </w:pPr>
    </w:lvl>
    <w:lvl w:ilvl="8" w:tplc="2222BB14">
      <w:start w:val="1"/>
      <w:numFmt w:val="decimal"/>
      <w:lvlText w:val="%9."/>
      <w:lvlJc w:val="left"/>
      <w:pPr>
        <w:ind w:left="1160" w:hanging="360"/>
      </w:pPr>
    </w:lvl>
  </w:abstractNum>
  <w:abstractNum w:abstractNumId="6" w15:restartNumberingAfterBreak="0">
    <w:nsid w:val="20953773"/>
    <w:multiLevelType w:val="hybridMultilevel"/>
    <w:tmpl w:val="480EB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55E8F"/>
    <w:multiLevelType w:val="hybridMultilevel"/>
    <w:tmpl w:val="EC9E0364"/>
    <w:lvl w:ilvl="0" w:tplc="44305BD8">
      <w:numFmt w:val="decimal"/>
      <w:lvlText w:val="%1."/>
      <w:lvlJc w:val="left"/>
      <w:pPr>
        <w:ind w:left="450" w:hanging="360"/>
      </w:pPr>
      <w:rPr>
        <w:rFonts w:asciiTheme="majorHAnsi" w:hAnsiTheme="majorHAnsi" w:hint="default"/>
        <w:color w:val="FFFFFF" w:themeColor="accent6"/>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CDF2DB6"/>
    <w:multiLevelType w:val="hybridMultilevel"/>
    <w:tmpl w:val="A2B45EDA"/>
    <w:lvl w:ilvl="0" w:tplc="FFFFFFFF">
      <w:start w:val="1"/>
      <w:numFmt w:val="decimal"/>
      <w:lvlText w:val="%1."/>
      <w:lvlJc w:val="left"/>
      <w:pPr>
        <w:ind w:left="540" w:hanging="360"/>
      </w:pPr>
      <w:rPr>
        <w:rFonts w:hint="default"/>
        <w:i w:val="0"/>
        <w:iCs/>
      </w:rPr>
    </w:lvl>
    <w:lvl w:ilvl="1" w:tplc="FFFFFFFF" w:tentative="1">
      <w:start w:val="1"/>
      <w:numFmt w:val="lowerLetter"/>
      <w:lvlText w:val="%2."/>
      <w:lvlJc w:val="left"/>
      <w:pPr>
        <w:ind w:left="1617" w:hanging="360"/>
      </w:pPr>
    </w:lvl>
    <w:lvl w:ilvl="2" w:tplc="FFFFFFFF" w:tentative="1">
      <w:start w:val="1"/>
      <w:numFmt w:val="lowerRoman"/>
      <w:lvlText w:val="%3."/>
      <w:lvlJc w:val="right"/>
      <w:pPr>
        <w:ind w:left="2337" w:hanging="180"/>
      </w:pPr>
    </w:lvl>
    <w:lvl w:ilvl="3" w:tplc="FFFFFFFF" w:tentative="1">
      <w:start w:val="1"/>
      <w:numFmt w:val="decimal"/>
      <w:lvlText w:val="%4."/>
      <w:lvlJc w:val="left"/>
      <w:pPr>
        <w:ind w:left="3057" w:hanging="360"/>
      </w:pPr>
    </w:lvl>
    <w:lvl w:ilvl="4" w:tplc="FFFFFFFF" w:tentative="1">
      <w:start w:val="1"/>
      <w:numFmt w:val="lowerLetter"/>
      <w:lvlText w:val="%5."/>
      <w:lvlJc w:val="left"/>
      <w:pPr>
        <w:ind w:left="3777" w:hanging="360"/>
      </w:pPr>
    </w:lvl>
    <w:lvl w:ilvl="5" w:tplc="FFFFFFFF" w:tentative="1">
      <w:start w:val="1"/>
      <w:numFmt w:val="lowerRoman"/>
      <w:lvlText w:val="%6."/>
      <w:lvlJc w:val="right"/>
      <w:pPr>
        <w:ind w:left="4497" w:hanging="180"/>
      </w:pPr>
    </w:lvl>
    <w:lvl w:ilvl="6" w:tplc="FFFFFFFF" w:tentative="1">
      <w:start w:val="1"/>
      <w:numFmt w:val="decimal"/>
      <w:lvlText w:val="%7."/>
      <w:lvlJc w:val="left"/>
      <w:pPr>
        <w:ind w:left="5217" w:hanging="360"/>
      </w:pPr>
    </w:lvl>
    <w:lvl w:ilvl="7" w:tplc="FFFFFFFF" w:tentative="1">
      <w:start w:val="1"/>
      <w:numFmt w:val="lowerLetter"/>
      <w:lvlText w:val="%8."/>
      <w:lvlJc w:val="left"/>
      <w:pPr>
        <w:ind w:left="5937" w:hanging="360"/>
      </w:pPr>
    </w:lvl>
    <w:lvl w:ilvl="8" w:tplc="FFFFFFFF" w:tentative="1">
      <w:start w:val="1"/>
      <w:numFmt w:val="lowerRoman"/>
      <w:lvlText w:val="%9."/>
      <w:lvlJc w:val="right"/>
      <w:pPr>
        <w:ind w:left="6657" w:hanging="180"/>
      </w:pPr>
    </w:lvl>
  </w:abstractNum>
  <w:abstractNum w:abstractNumId="9" w15:restartNumberingAfterBreak="0">
    <w:nsid w:val="351D5F6F"/>
    <w:multiLevelType w:val="hybridMultilevel"/>
    <w:tmpl w:val="BEB0F4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46253C98"/>
    <w:multiLevelType w:val="hybridMultilevel"/>
    <w:tmpl w:val="6B0C287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5E6BD7"/>
    <w:multiLevelType w:val="hybridMultilevel"/>
    <w:tmpl w:val="B32AEFA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57CB4202"/>
    <w:multiLevelType w:val="hybridMultilevel"/>
    <w:tmpl w:val="D7765C9E"/>
    <w:lvl w:ilvl="0" w:tplc="347AA15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5DC35D77"/>
    <w:multiLevelType w:val="hybridMultilevel"/>
    <w:tmpl w:val="F55AFFE6"/>
    <w:lvl w:ilvl="0" w:tplc="BB2860C6">
      <w:start w:val="1"/>
      <w:numFmt w:val="bullet"/>
      <w:lvlText w:val="•"/>
      <w:lvlJc w:val="left"/>
      <w:pPr>
        <w:tabs>
          <w:tab w:val="num" w:pos="720"/>
        </w:tabs>
        <w:ind w:left="720" w:hanging="360"/>
      </w:pPr>
      <w:rPr>
        <w:rFonts w:ascii="Arial" w:hAnsi="Arial" w:hint="default"/>
      </w:rPr>
    </w:lvl>
    <w:lvl w:ilvl="1" w:tplc="E60C100E" w:tentative="1">
      <w:start w:val="1"/>
      <w:numFmt w:val="bullet"/>
      <w:lvlText w:val="•"/>
      <w:lvlJc w:val="left"/>
      <w:pPr>
        <w:tabs>
          <w:tab w:val="num" w:pos="1440"/>
        </w:tabs>
        <w:ind w:left="1440" w:hanging="360"/>
      </w:pPr>
      <w:rPr>
        <w:rFonts w:ascii="Arial" w:hAnsi="Arial" w:hint="default"/>
      </w:rPr>
    </w:lvl>
    <w:lvl w:ilvl="2" w:tplc="6E229B44" w:tentative="1">
      <w:start w:val="1"/>
      <w:numFmt w:val="bullet"/>
      <w:lvlText w:val="•"/>
      <w:lvlJc w:val="left"/>
      <w:pPr>
        <w:tabs>
          <w:tab w:val="num" w:pos="2160"/>
        </w:tabs>
        <w:ind w:left="2160" w:hanging="360"/>
      </w:pPr>
      <w:rPr>
        <w:rFonts w:ascii="Arial" w:hAnsi="Arial" w:hint="default"/>
      </w:rPr>
    </w:lvl>
    <w:lvl w:ilvl="3" w:tplc="13F4DC88" w:tentative="1">
      <w:start w:val="1"/>
      <w:numFmt w:val="bullet"/>
      <w:lvlText w:val="•"/>
      <w:lvlJc w:val="left"/>
      <w:pPr>
        <w:tabs>
          <w:tab w:val="num" w:pos="2880"/>
        </w:tabs>
        <w:ind w:left="2880" w:hanging="360"/>
      </w:pPr>
      <w:rPr>
        <w:rFonts w:ascii="Arial" w:hAnsi="Arial" w:hint="default"/>
      </w:rPr>
    </w:lvl>
    <w:lvl w:ilvl="4" w:tplc="D72E7886" w:tentative="1">
      <w:start w:val="1"/>
      <w:numFmt w:val="bullet"/>
      <w:lvlText w:val="•"/>
      <w:lvlJc w:val="left"/>
      <w:pPr>
        <w:tabs>
          <w:tab w:val="num" w:pos="3600"/>
        </w:tabs>
        <w:ind w:left="3600" w:hanging="360"/>
      </w:pPr>
      <w:rPr>
        <w:rFonts w:ascii="Arial" w:hAnsi="Arial" w:hint="default"/>
      </w:rPr>
    </w:lvl>
    <w:lvl w:ilvl="5" w:tplc="2BDCEF2C" w:tentative="1">
      <w:start w:val="1"/>
      <w:numFmt w:val="bullet"/>
      <w:lvlText w:val="•"/>
      <w:lvlJc w:val="left"/>
      <w:pPr>
        <w:tabs>
          <w:tab w:val="num" w:pos="4320"/>
        </w:tabs>
        <w:ind w:left="4320" w:hanging="360"/>
      </w:pPr>
      <w:rPr>
        <w:rFonts w:ascii="Arial" w:hAnsi="Arial" w:hint="default"/>
      </w:rPr>
    </w:lvl>
    <w:lvl w:ilvl="6" w:tplc="F81CDCAE" w:tentative="1">
      <w:start w:val="1"/>
      <w:numFmt w:val="bullet"/>
      <w:lvlText w:val="•"/>
      <w:lvlJc w:val="left"/>
      <w:pPr>
        <w:tabs>
          <w:tab w:val="num" w:pos="5040"/>
        </w:tabs>
        <w:ind w:left="5040" w:hanging="360"/>
      </w:pPr>
      <w:rPr>
        <w:rFonts w:ascii="Arial" w:hAnsi="Arial" w:hint="default"/>
      </w:rPr>
    </w:lvl>
    <w:lvl w:ilvl="7" w:tplc="B59EFD0A" w:tentative="1">
      <w:start w:val="1"/>
      <w:numFmt w:val="bullet"/>
      <w:lvlText w:val="•"/>
      <w:lvlJc w:val="left"/>
      <w:pPr>
        <w:tabs>
          <w:tab w:val="num" w:pos="5760"/>
        </w:tabs>
        <w:ind w:left="5760" w:hanging="360"/>
      </w:pPr>
      <w:rPr>
        <w:rFonts w:ascii="Arial" w:hAnsi="Arial" w:hint="default"/>
      </w:rPr>
    </w:lvl>
    <w:lvl w:ilvl="8" w:tplc="1980AB2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5930894"/>
    <w:multiLevelType w:val="hybridMultilevel"/>
    <w:tmpl w:val="A2B45EDA"/>
    <w:lvl w:ilvl="0" w:tplc="FB162494">
      <w:start w:val="1"/>
      <w:numFmt w:val="decimal"/>
      <w:lvlText w:val="%1."/>
      <w:lvlJc w:val="left"/>
      <w:pPr>
        <w:ind w:left="540" w:hanging="360"/>
      </w:pPr>
      <w:rPr>
        <w:rFonts w:hint="default"/>
        <w:i w:val="0"/>
        <w:iCs/>
      </w:rPr>
    </w:lvl>
    <w:lvl w:ilvl="1" w:tplc="04090019" w:tentative="1">
      <w:start w:val="1"/>
      <w:numFmt w:val="lowerLetter"/>
      <w:lvlText w:val="%2."/>
      <w:lvlJc w:val="left"/>
      <w:pPr>
        <w:ind w:left="1617" w:hanging="360"/>
      </w:pPr>
    </w:lvl>
    <w:lvl w:ilvl="2" w:tplc="0409001B" w:tentative="1">
      <w:start w:val="1"/>
      <w:numFmt w:val="lowerRoman"/>
      <w:lvlText w:val="%3."/>
      <w:lvlJc w:val="right"/>
      <w:pPr>
        <w:ind w:left="2337" w:hanging="180"/>
      </w:pPr>
    </w:lvl>
    <w:lvl w:ilvl="3" w:tplc="0409000F" w:tentative="1">
      <w:start w:val="1"/>
      <w:numFmt w:val="decimal"/>
      <w:lvlText w:val="%4."/>
      <w:lvlJc w:val="left"/>
      <w:pPr>
        <w:ind w:left="3057" w:hanging="360"/>
      </w:pPr>
    </w:lvl>
    <w:lvl w:ilvl="4" w:tplc="04090019" w:tentative="1">
      <w:start w:val="1"/>
      <w:numFmt w:val="lowerLetter"/>
      <w:lvlText w:val="%5."/>
      <w:lvlJc w:val="left"/>
      <w:pPr>
        <w:ind w:left="3777" w:hanging="360"/>
      </w:pPr>
    </w:lvl>
    <w:lvl w:ilvl="5" w:tplc="0409001B" w:tentative="1">
      <w:start w:val="1"/>
      <w:numFmt w:val="lowerRoman"/>
      <w:lvlText w:val="%6."/>
      <w:lvlJc w:val="right"/>
      <w:pPr>
        <w:ind w:left="4497" w:hanging="180"/>
      </w:pPr>
    </w:lvl>
    <w:lvl w:ilvl="6" w:tplc="0409000F" w:tentative="1">
      <w:start w:val="1"/>
      <w:numFmt w:val="decimal"/>
      <w:lvlText w:val="%7."/>
      <w:lvlJc w:val="left"/>
      <w:pPr>
        <w:ind w:left="5217" w:hanging="360"/>
      </w:pPr>
    </w:lvl>
    <w:lvl w:ilvl="7" w:tplc="04090019" w:tentative="1">
      <w:start w:val="1"/>
      <w:numFmt w:val="lowerLetter"/>
      <w:lvlText w:val="%8."/>
      <w:lvlJc w:val="left"/>
      <w:pPr>
        <w:ind w:left="5937" w:hanging="360"/>
      </w:pPr>
    </w:lvl>
    <w:lvl w:ilvl="8" w:tplc="0409001B" w:tentative="1">
      <w:start w:val="1"/>
      <w:numFmt w:val="lowerRoman"/>
      <w:lvlText w:val="%9."/>
      <w:lvlJc w:val="right"/>
      <w:pPr>
        <w:ind w:left="6657" w:hanging="180"/>
      </w:pPr>
    </w:lvl>
  </w:abstractNum>
  <w:abstractNum w:abstractNumId="15" w15:restartNumberingAfterBreak="0">
    <w:nsid w:val="66DD7A83"/>
    <w:multiLevelType w:val="hybridMultilevel"/>
    <w:tmpl w:val="A2B45EDA"/>
    <w:lvl w:ilvl="0" w:tplc="FFFFFFFF">
      <w:start w:val="1"/>
      <w:numFmt w:val="decimal"/>
      <w:lvlText w:val="%1."/>
      <w:lvlJc w:val="left"/>
      <w:pPr>
        <w:ind w:left="540" w:hanging="360"/>
      </w:pPr>
      <w:rPr>
        <w:rFonts w:hint="default"/>
        <w:i w:val="0"/>
        <w:iCs/>
      </w:rPr>
    </w:lvl>
    <w:lvl w:ilvl="1" w:tplc="FFFFFFFF" w:tentative="1">
      <w:start w:val="1"/>
      <w:numFmt w:val="lowerLetter"/>
      <w:lvlText w:val="%2."/>
      <w:lvlJc w:val="left"/>
      <w:pPr>
        <w:ind w:left="1617" w:hanging="360"/>
      </w:pPr>
    </w:lvl>
    <w:lvl w:ilvl="2" w:tplc="FFFFFFFF" w:tentative="1">
      <w:start w:val="1"/>
      <w:numFmt w:val="lowerRoman"/>
      <w:lvlText w:val="%3."/>
      <w:lvlJc w:val="right"/>
      <w:pPr>
        <w:ind w:left="2337" w:hanging="180"/>
      </w:pPr>
    </w:lvl>
    <w:lvl w:ilvl="3" w:tplc="FFFFFFFF" w:tentative="1">
      <w:start w:val="1"/>
      <w:numFmt w:val="decimal"/>
      <w:lvlText w:val="%4."/>
      <w:lvlJc w:val="left"/>
      <w:pPr>
        <w:ind w:left="3057" w:hanging="360"/>
      </w:pPr>
    </w:lvl>
    <w:lvl w:ilvl="4" w:tplc="FFFFFFFF" w:tentative="1">
      <w:start w:val="1"/>
      <w:numFmt w:val="lowerLetter"/>
      <w:lvlText w:val="%5."/>
      <w:lvlJc w:val="left"/>
      <w:pPr>
        <w:ind w:left="3777" w:hanging="360"/>
      </w:pPr>
    </w:lvl>
    <w:lvl w:ilvl="5" w:tplc="FFFFFFFF" w:tentative="1">
      <w:start w:val="1"/>
      <w:numFmt w:val="lowerRoman"/>
      <w:lvlText w:val="%6."/>
      <w:lvlJc w:val="right"/>
      <w:pPr>
        <w:ind w:left="4497" w:hanging="180"/>
      </w:pPr>
    </w:lvl>
    <w:lvl w:ilvl="6" w:tplc="FFFFFFFF" w:tentative="1">
      <w:start w:val="1"/>
      <w:numFmt w:val="decimal"/>
      <w:lvlText w:val="%7."/>
      <w:lvlJc w:val="left"/>
      <w:pPr>
        <w:ind w:left="5217" w:hanging="360"/>
      </w:pPr>
    </w:lvl>
    <w:lvl w:ilvl="7" w:tplc="FFFFFFFF" w:tentative="1">
      <w:start w:val="1"/>
      <w:numFmt w:val="lowerLetter"/>
      <w:lvlText w:val="%8."/>
      <w:lvlJc w:val="left"/>
      <w:pPr>
        <w:ind w:left="5937" w:hanging="360"/>
      </w:pPr>
    </w:lvl>
    <w:lvl w:ilvl="8" w:tplc="FFFFFFFF" w:tentative="1">
      <w:start w:val="1"/>
      <w:numFmt w:val="lowerRoman"/>
      <w:lvlText w:val="%9."/>
      <w:lvlJc w:val="right"/>
      <w:pPr>
        <w:ind w:left="6657" w:hanging="180"/>
      </w:pPr>
    </w:lvl>
  </w:abstractNum>
  <w:abstractNum w:abstractNumId="16" w15:restartNumberingAfterBreak="0">
    <w:nsid w:val="736D5CF6"/>
    <w:multiLevelType w:val="hybridMultilevel"/>
    <w:tmpl w:val="AD8A16DA"/>
    <w:lvl w:ilvl="0" w:tplc="0409000F">
      <w:start w:val="1"/>
      <w:numFmt w:val="decimal"/>
      <w:lvlText w:val="%1."/>
      <w:lvlJc w:val="left"/>
      <w:pPr>
        <w:ind w:left="546" w:hanging="360"/>
      </w:pPr>
      <w:rPr>
        <w:rFonts w:hint="default"/>
      </w:rPr>
    </w:lvl>
    <w:lvl w:ilvl="1" w:tplc="04090003" w:tentative="1">
      <w:start w:val="1"/>
      <w:numFmt w:val="bullet"/>
      <w:lvlText w:val="o"/>
      <w:lvlJc w:val="left"/>
      <w:pPr>
        <w:ind w:left="1266" w:hanging="360"/>
      </w:pPr>
      <w:rPr>
        <w:rFonts w:ascii="Courier New" w:hAnsi="Courier New" w:cs="Courier New" w:hint="default"/>
      </w:rPr>
    </w:lvl>
    <w:lvl w:ilvl="2" w:tplc="04090005" w:tentative="1">
      <w:start w:val="1"/>
      <w:numFmt w:val="bullet"/>
      <w:lvlText w:val=""/>
      <w:lvlJc w:val="left"/>
      <w:pPr>
        <w:ind w:left="1986" w:hanging="360"/>
      </w:pPr>
      <w:rPr>
        <w:rFonts w:ascii="Wingdings" w:hAnsi="Wingdings" w:hint="default"/>
      </w:rPr>
    </w:lvl>
    <w:lvl w:ilvl="3" w:tplc="04090001" w:tentative="1">
      <w:start w:val="1"/>
      <w:numFmt w:val="bullet"/>
      <w:lvlText w:val=""/>
      <w:lvlJc w:val="left"/>
      <w:pPr>
        <w:ind w:left="2706" w:hanging="360"/>
      </w:pPr>
      <w:rPr>
        <w:rFonts w:ascii="Symbol" w:hAnsi="Symbol" w:hint="default"/>
      </w:rPr>
    </w:lvl>
    <w:lvl w:ilvl="4" w:tplc="04090003" w:tentative="1">
      <w:start w:val="1"/>
      <w:numFmt w:val="bullet"/>
      <w:lvlText w:val="o"/>
      <w:lvlJc w:val="left"/>
      <w:pPr>
        <w:ind w:left="3426" w:hanging="360"/>
      </w:pPr>
      <w:rPr>
        <w:rFonts w:ascii="Courier New" w:hAnsi="Courier New" w:cs="Courier New" w:hint="default"/>
      </w:rPr>
    </w:lvl>
    <w:lvl w:ilvl="5" w:tplc="04090005" w:tentative="1">
      <w:start w:val="1"/>
      <w:numFmt w:val="bullet"/>
      <w:lvlText w:val=""/>
      <w:lvlJc w:val="left"/>
      <w:pPr>
        <w:ind w:left="4146" w:hanging="360"/>
      </w:pPr>
      <w:rPr>
        <w:rFonts w:ascii="Wingdings" w:hAnsi="Wingdings" w:hint="default"/>
      </w:rPr>
    </w:lvl>
    <w:lvl w:ilvl="6" w:tplc="04090001" w:tentative="1">
      <w:start w:val="1"/>
      <w:numFmt w:val="bullet"/>
      <w:lvlText w:val=""/>
      <w:lvlJc w:val="left"/>
      <w:pPr>
        <w:ind w:left="4866" w:hanging="360"/>
      </w:pPr>
      <w:rPr>
        <w:rFonts w:ascii="Symbol" w:hAnsi="Symbol" w:hint="default"/>
      </w:rPr>
    </w:lvl>
    <w:lvl w:ilvl="7" w:tplc="04090003" w:tentative="1">
      <w:start w:val="1"/>
      <w:numFmt w:val="bullet"/>
      <w:lvlText w:val="o"/>
      <w:lvlJc w:val="left"/>
      <w:pPr>
        <w:ind w:left="5586" w:hanging="360"/>
      </w:pPr>
      <w:rPr>
        <w:rFonts w:ascii="Courier New" w:hAnsi="Courier New" w:cs="Courier New" w:hint="default"/>
      </w:rPr>
    </w:lvl>
    <w:lvl w:ilvl="8" w:tplc="04090005" w:tentative="1">
      <w:start w:val="1"/>
      <w:numFmt w:val="bullet"/>
      <w:lvlText w:val=""/>
      <w:lvlJc w:val="left"/>
      <w:pPr>
        <w:ind w:left="6306" w:hanging="360"/>
      </w:pPr>
      <w:rPr>
        <w:rFonts w:ascii="Wingdings" w:hAnsi="Wingdings" w:hint="default"/>
      </w:rPr>
    </w:lvl>
  </w:abstractNum>
  <w:num w:numId="1" w16cid:durableId="2107339617">
    <w:abstractNumId w:val="7"/>
  </w:num>
  <w:num w:numId="2" w16cid:durableId="779910743">
    <w:abstractNumId w:val="12"/>
  </w:num>
  <w:num w:numId="3" w16cid:durableId="210195989">
    <w:abstractNumId w:val="10"/>
  </w:num>
  <w:num w:numId="4" w16cid:durableId="1087927030">
    <w:abstractNumId w:val="3"/>
  </w:num>
  <w:num w:numId="5" w16cid:durableId="1177571649">
    <w:abstractNumId w:val="0"/>
  </w:num>
  <w:num w:numId="6" w16cid:durableId="1097679493">
    <w:abstractNumId w:val="6"/>
  </w:num>
  <w:num w:numId="7" w16cid:durableId="1311864999">
    <w:abstractNumId w:val="14"/>
  </w:num>
  <w:num w:numId="8" w16cid:durableId="1580407084">
    <w:abstractNumId w:val="8"/>
  </w:num>
  <w:num w:numId="9" w16cid:durableId="1142961463">
    <w:abstractNumId w:val="15"/>
  </w:num>
  <w:num w:numId="10" w16cid:durableId="1511990764">
    <w:abstractNumId w:val="2"/>
  </w:num>
  <w:num w:numId="11" w16cid:durableId="842009249">
    <w:abstractNumId w:val="5"/>
  </w:num>
  <w:num w:numId="12" w16cid:durableId="590043381">
    <w:abstractNumId w:val="1"/>
  </w:num>
  <w:num w:numId="13" w16cid:durableId="961576409">
    <w:abstractNumId w:val="4"/>
  </w:num>
  <w:num w:numId="14" w16cid:durableId="1915123748">
    <w:abstractNumId w:val="16"/>
  </w:num>
  <w:num w:numId="15" w16cid:durableId="403839886">
    <w:abstractNumId w:val="11"/>
  </w:num>
  <w:num w:numId="16" w16cid:durableId="2109154874">
    <w:abstractNumId w:val="9"/>
  </w:num>
  <w:num w:numId="17" w16cid:durableId="14157367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MxNTQ0tTCzMTA0NLYyUdpeDU4uLM/DyQAkOjWgDRwuC5LQAAAA=="/>
  </w:docVars>
  <w:rsids>
    <w:rsidRoot w:val="006A0EB4"/>
    <w:rsid w:val="000017B3"/>
    <w:rsid w:val="00003EC3"/>
    <w:rsid w:val="00003F10"/>
    <w:rsid w:val="000042FC"/>
    <w:rsid w:val="00004543"/>
    <w:rsid w:val="00004618"/>
    <w:rsid w:val="0000513C"/>
    <w:rsid w:val="00006435"/>
    <w:rsid w:val="00006C8C"/>
    <w:rsid w:val="00006D47"/>
    <w:rsid w:val="00006DEC"/>
    <w:rsid w:val="000077D1"/>
    <w:rsid w:val="00007B4D"/>
    <w:rsid w:val="0001059C"/>
    <w:rsid w:val="00010C28"/>
    <w:rsid w:val="00010C30"/>
    <w:rsid w:val="00011187"/>
    <w:rsid w:val="0001150F"/>
    <w:rsid w:val="00011605"/>
    <w:rsid w:val="000120A5"/>
    <w:rsid w:val="00012D6A"/>
    <w:rsid w:val="00014EDF"/>
    <w:rsid w:val="00015057"/>
    <w:rsid w:val="00016D89"/>
    <w:rsid w:val="00017058"/>
    <w:rsid w:val="000178E5"/>
    <w:rsid w:val="00017E30"/>
    <w:rsid w:val="00020954"/>
    <w:rsid w:val="00024C2E"/>
    <w:rsid w:val="00025EFE"/>
    <w:rsid w:val="00026E25"/>
    <w:rsid w:val="000312FE"/>
    <w:rsid w:val="0003132F"/>
    <w:rsid w:val="0003193F"/>
    <w:rsid w:val="00031DD9"/>
    <w:rsid w:val="000333C6"/>
    <w:rsid w:val="00034BF4"/>
    <w:rsid w:val="00034C25"/>
    <w:rsid w:val="00035945"/>
    <w:rsid w:val="00041895"/>
    <w:rsid w:val="000420FD"/>
    <w:rsid w:val="00043371"/>
    <w:rsid w:val="00044427"/>
    <w:rsid w:val="00045E8D"/>
    <w:rsid w:val="00046447"/>
    <w:rsid w:val="00046D48"/>
    <w:rsid w:val="00050C75"/>
    <w:rsid w:val="000512AD"/>
    <w:rsid w:val="00053F4C"/>
    <w:rsid w:val="00055D0A"/>
    <w:rsid w:val="000565CD"/>
    <w:rsid w:val="0006086F"/>
    <w:rsid w:val="00060F67"/>
    <w:rsid w:val="00063AD1"/>
    <w:rsid w:val="000662A5"/>
    <w:rsid w:val="00066755"/>
    <w:rsid w:val="00066A77"/>
    <w:rsid w:val="00070649"/>
    <w:rsid w:val="00070F3D"/>
    <w:rsid w:val="0007104C"/>
    <w:rsid w:val="0007179C"/>
    <w:rsid w:val="0007215A"/>
    <w:rsid w:val="00075E9E"/>
    <w:rsid w:val="0007602D"/>
    <w:rsid w:val="000762C6"/>
    <w:rsid w:val="00076526"/>
    <w:rsid w:val="00077D5D"/>
    <w:rsid w:val="00080033"/>
    <w:rsid w:val="00080F5E"/>
    <w:rsid w:val="00081257"/>
    <w:rsid w:val="00081AB1"/>
    <w:rsid w:val="000823D6"/>
    <w:rsid w:val="0008269E"/>
    <w:rsid w:val="000853B2"/>
    <w:rsid w:val="00085DCF"/>
    <w:rsid w:val="0009012A"/>
    <w:rsid w:val="00090AD6"/>
    <w:rsid w:val="000912A7"/>
    <w:rsid w:val="00091D20"/>
    <w:rsid w:val="000924B1"/>
    <w:rsid w:val="00094A78"/>
    <w:rsid w:val="00096CF6"/>
    <w:rsid w:val="00097836"/>
    <w:rsid w:val="000978F8"/>
    <w:rsid w:val="000A2858"/>
    <w:rsid w:val="000A400C"/>
    <w:rsid w:val="000A42BD"/>
    <w:rsid w:val="000A46A3"/>
    <w:rsid w:val="000A47B4"/>
    <w:rsid w:val="000A5062"/>
    <w:rsid w:val="000A694F"/>
    <w:rsid w:val="000A6A93"/>
    <w:rsid w:val="000A6B86"/>
    <w:rsid w:val="000A7690"/>
    <w:rsid w:val="000B0216"/>
    <w:rsid w:val="000B07A7"/>
    <w:rsid w:val="000B27BD"/>
    <w:rsid w:val="000B2913"/>
    <w:rsid w:val="000B4B46"/>
    <w:rsid w:val="000B582A"/>
    <w:rsid w:val="000B68C8"/>
    <w:rsid w:val="000B701D"/>
    <w:rsid w:val="000C0218"/>
    <w:rsid w:val="000C23C6"/>
    <w:rsid w:val="000C66EC"/>
    <w:rsid w:val="000C6B16"/>
    <w:rsid w:val="000C7164"/>
    <w:rsid w:val="000C71B5"/>
    <w:rsid w:val="000D2043"/>
    <w:rsid w:val="000D34DA"/>
    <w:rsid w:val="000D3E1E"/>
    <w:rsid w:val="000D4366"/>
    <w:rsid w:val="000D4449"/>
    <w:rsid w:val="000D52A5"/>
    <w:rsid w:val="000D5539"/>
    <w:rsid w:val="000D5CA1"/>
    <w:rsid w:val="000D5FA2"/>
    <w:rsid w:val="000D65FF"/>
    <w:rsid w:val="000D7F84"/>
    <w:rsid w:val="000E054A"/>
    <w:rsid w:val="000E0B8F"/>
    <w:rsid w:val="000E0F59"/>
    <w:rsid w:val="000E102F"/>
    <w:rsid w:val="000E1AA9"/>
    <w:rsid w:val="000E1AF3"/>
    <w:rsid w:val="000E2049"/>
    <w:rsid w:val="000E28BF"/>
    <w:rsid w:val="000E3013"/>
    <w:rsid w:val="000E343E"/>
    <w:rsid w:val="000E3A3B"/>
    <w:rsid w:val="000E3DE8"/>
    <w:rsid w:val="000E3ED8"/>
    <w:rsid w:val="000E4625"/>
    <w:rsid w:val="000E4852"/>
    <w:rsid w:val="000E584B"/>
    <w:rsid w:val="000E7F67"/>
    <w:rsid w:val="000F295F"/>
    <w:rsid w:val="000F3567"/>
    <w:rsid w:val="000F566D"/>
    <w:rsid w:val="000F5B74"/>
    <w:rsid w:val="000F5F8B"/>
    <w:rsid w:val="000F67DB"/>
    <w:rsid w:val="000F6E9A"/>
    <w:rsid w:val="000F75C6"/>
    <w:rsid w:val="00100C57"/>
    <w:rsid w:val="00101D0A"/>
    <w:rsid w:val="001032C3"/>
    <w:rsid w:val="00103655"/>
    <w:rsid w:val="00104B63"/>
    <w:rsid w:val="001053FF"/>
    <w:rsid w:val="001068DB"/>
    <w:rsid w:val="00106975"/>
    <w:rsid w:val="00106E78"/>
    <w:rsid w:val="00107A23"/>
    <w:rsid w:val="0011000B"/>
    <w:rsid w:val="00110E3F"/>
    <w:rsid w:val="00111154"/>
    <w:rsid w:val="0011123A"/>
    <w:rsid w:val="00112A70"/>
    <w:rsid w:val="00114E27"/>
    <w:rsid w:val="0011538F"/>
    <w:rsid w:val="0011566E"/>
    <w:rsid w:val="00115B57"/>
    <w:rsid w:val="001177DF"/>
    <w:rsid w:val="0012020B"/>
    <w:rsid w:val="00121C96"/>
    <w:rsid w:val="001221B5"/>
    <w:rsid w:val="001226B1"/>
    <w:rsid w:val="00123F20"/>
    <w:rsid w:val="001240DC"/>
    <w:rsid w:val="00124BB5"/>
    <w:rsid w:val="00124EAC"/>
    <w:rsid w:val="0012569A"/>
    <w:rsid w:val="00126331"/>
    <w:rsid w:val="001303C2"/>
    <w:rsid w:val="0013110B"/>
    <w:rsid w:val="00131588"/>
    <w:rsid w:val="0013185A"/>
    <w:rsid w:val="00131CA1"/>
    <w:rsid w:val="00131E91"/>
    <w:rsid w:val="00132B67"/>
    <w:rsid w:val="00133108"/>
    <w:rsid w:val="001337F2"/>
    <w:rsid w:val="00133B55"/>
    <w:rsid w:val="00134124"/>
    <w:rsid w:val="001348B5"/>
    <w:rsid w:val="00134C93"/>
    <w:rsid w:val="00135A70"/>
    <w:rsid w:val="001373F6"/>
    <w:rsid w:val="00137A9A"/>
    <w:rsid w:val="00137E15"/>
    <w:rsid w:val="001413A6"/>
    <w:rsid w:val="0014366E"/>
    <w:rsid w:val="00145C95"/>
    <w:rsid w:val="001473EA"/>
    <w:rsid w:val="00151362"/>
    <w:rsid w:val="001540B3"/>
    <w:rsid w:val="00154627"/>
    <w:rsid w:val="00154A8C"/>
    <w:rsid w:val="00154F7E"/>
    <w:rsid w:val="001550CB"/>
    <w:rsid w:val="00157D32"/>
    <w:rsid w:val="00161B80"/>
    <w:rsid w:val="00161C15"/>
    <w:rsid w:val="00161F9D"/>
    <w:rsid w:val="00162314"/>
    <w:rsid w:val="00162C7F"/>
    <w:rsid w:val="00167823"/>
    <w:rsid w:val="00170062"/>
    <w:rsid w:val="0017045E"/>
    <w:rsid w:val="00171AB4"/>
    <w:rsid w:val="00171BED"/>
    <w:rsid w:val="0017238A"/>
    <w:rsid w:val="00173C58"/>
    <w:rsid w:val="00173CD4"/>
    <w:rsid w:val="00174178"/>
    <w:rsid w:val="00174638"/>
    <w:rsid w:val="00174BA8"/>
    <w:rsid w:val="001755AC"/>
    <w:rsid w:val="00175691"/>
    <w:rsid w:val="00175D18"/>
    <w:rsid w:val="0017740E"/>
    <w:rsid w:val="00177523"/>
    <w:rsid w:val="001778C3"/>
    <w:rsid w:val="00177B02"/>
    <w:rsid w:val="00177C71"/>
    <w:rsid w:val="00180B66"/>
    <w:rsid w:val="00181CFD"/>
    <w:rsid w:val="001823F2"/>
    <w:rsid w:val="00182956"/>
    <w:rsid w:val="0018326D"/>
    <w:rsid w:val="0018358B"/>
    <w:rsid w:val="001837F3"/>
    <w:rsid w:val="001870E7"/>
    <w:rsid w:val="00191944"/>
    <w:rsid w:val="00192021"/>
    <w:rsid w:val="0019256C"/>
    <w:rsid w:val="00192F93"/>
    <w:rsid w:val="001937FF"/>
    <w:rsid w:val="00194292"/>
    <w:rsid w:val="001958BD"/>
    <w:rsid w:val="001965BF"/>
    <w:rsid w:val="001966C7"/>
    <w:rsid w:val="0019746A"/>
    <w:rsid w:val="001977BA"/>
    <w:rsid w:val="001A08BD"/>
    <w:rsid w:val="001A2BBB"/>
    <w:rsid w:val="001A4624"/>
    <w:rsid w:val="001A5317"/>
    <w:rsid w:val="001A5350"/>
    <w:rsid w:val="001A5D75"/>
    <w:rsid w:val="001A619E"/>
    <w:rsid w:val="001A6C9E"/>
    <w:rsid w:val="001A7D6B"/>
    <w:rsid w:val="001B0751"/>
    <w:rsid w:val="001B08E3"/>
    <w:rsid w:val="001B1528"/>
    <w:rsid w:val="001B43F7"/>
    <w:rsid w:val="001B4966"/>
    <w:rsid w:val="001B4C03"/>
    <w:rsid w:val="001B6942"/>
    <w:rsid w:val="001B6C1E"/>
    <w:rsid w:val="001B71E1"/>
    <w:rsid w:val="001C2217"/>
    <w:rsid w:val="001C39DC"/>
    <w:rsid w:val="001C3E21"/>
    <w:rsid w:val="001C5D67"/>
    <w:rsid w:val="001C6DDA"/>
    <w:rsid w:val="001C6DDE"/>
    <w:rsid w:val="001D15F3"/>
    <w:rsid w:val="001D2E0D"/>
    <w:rsid w:val="001D2E4C"/>
    <w:rsid w:val="001D55F5"/>
    <w:rsid w:val="001D5FF4"/>
    <w:rsid w:val="001D647E"/>
    <w:rsid w:val="001D763A"/>
    <w:rsid w:val="001E2411"/>
    <w:rsid w:val="001E3364"/>
    <w:rsid w:val="001E3474"/>
    <w:rsid w:val="001E59F7"/>
    <w:rsid w:val="001E5F81"/>
    <w:rsid w:val="001E62DE"/>
    <w:rsid w:val="001E6577"/>
    <w:rsid w:val="001E7EB1"/>
    <w:rsid w:val="001F0366"/>
    <w:rsid w:val="001F1212"/>
    <w:rsid w:val="001F192C"/>
    <w:rsid w:val="001F2D8D"/>
    <w:rsid w:val="001F40B8"/>
    <w:rsid w:val="001F5BB3"/>
    <w:rsid w:val="001F5C52"/>
    <w:rsid w:val="001F76FD"/>
    <w:rsid w:val="001F7AE9"/>
    <w:rsid w:val="00200E09"/>
    <w:rsid w:val="00201072"/>
    <w:rsid w:val="00201F95"/>
    <w:rsid w:val="00202511"/>
    <w:rsid w:val="00202B7D"/>
    <w:rsid w:val="00203EF0"/>
    <w:rsid w:val="00205130"/>
    <w:rsid w:val="00205268"/>
    <w:rsid w:val="0020646D"/>
    <w:rsid w:val="002068DE"/>
    <w:rsid w:val="00206C9F"/>
    <w:rsid w:val="002106EC"/>
    <w:rsid w:val="00210F62"/>
    <w:rsid w:val="00211B3D"/>
    <w:rsid w:val="00212007"/>
    <w:rsid w:val="00212204"/>
    <w:rsid w:val="00213E08"/>
    <w:rsid w:val="00213F3C"/>
    <w:rsid w:val="00213FBB"/>
    <w:rsid w:val="0021405A"/>
    <w:rsid w:val="00214324"/>
    <w:rsid w:val="00214472"/>
    <w:rsid w:val="00214824"/>
    <w:rsid w:val="00214C65"/>
    <w:rsid w:val="002158BE"/>
    <w:rsid w:val="00216E42"/>
    <w:rsid w:val="00220A46"/>
    <w:rsid w:val="00220FDB"/>
    <w:rsid w:val="002216CC"/>
    <w:rsid w:val="00222FDB"/>
    <w:rsid w:val="002230BC"/>
    <w:rsid w:val="00223B56"/>
    <w:rsid w:val="0022447B"/>
    <w:rsid w:val="00224607"/>
    <w:rsid w:val="00224980"/>
    <w:rsid w:val="00224C9F"/>
    <w:rsid w:val="00224DA7"/>
    <w:rsid w:val="00230BC0"/>
    <w:rsid w:val="002314BF"/>
    <w:rsid w:val="002325E5"/>
    <w:rsid w:val="0023299B"/>
    <w:rsid w:val="00232B4A"/>
    <w:rsid w:val="00233592"/>
    <w:rsid w:val="0023426E"/>
    <w:rsid w:val="00234ADE"/>
    <w:rsid w:val="00234D3B"/>
    <w:rsid w:val="002353E2"/>
    <w:rsid w:val="00235FEE"/>
    <w:rsid w:val="002369FB"/>
    <w:rsid w:val="00237B3D"/>
    <w:rsid w:val="00240257"/>
    <w:rsid w:val="00242B74"/>
    <w:rsid w:val="00242D75"/>
    <w:rsid w:val="0024304D"/>
    <w:rsid w:val="002433C5"/>
    <w:rsid w:val="0024342F"/>
    <w:rsid w:val="00243A5C"/>
    <w:rsid w:val="00244BD4"/>
    <w:rsid w:val="002453BC"/>
    <w:rsid w:val="00245B65"/>
    <w:rsid w:val="00246D86"/>
    <w:rsid w:val="002476A8"/>
    <w:rsid w:val="00247E56"/>
    <w:rsid w:val="00251B33"/>
    <w:rsid w:val="002523C9"/>
    <w:rsid w:val="0025252B"/>
    <w:rsid w:val="0025286E"/>
    <w:rsid w:val="0025313E"/>
    <w:rsid w:val="00253201"/>
    <w:rsid w:val="00253A78"/>
    <w:rsid w:val="00254540"/>
    <w:rsid w:val="00255693"/>
    <w:rsid w:val="0025570E"/>
    <w:rsid w:val="00261BA2"/>
    <w:rsid w:val="00262375"/>
    <w:rsid w:val="002623A5"/>
    <w:rsid w:val="0026338D"/>
    <w:rsid w:val="002635A6"/>
    <w:rsid w:val="00263DF8"/>
    <w:rsid w:val="00265398"/>
    <w:rsid w:val="00267081"/>
    <w:rsid w:val="002703F1"/>
    <w:rsid w:val="00271700"/>
    <w:rsid w:val="002717D8"/>
    <w:rsid w:val="00272D82"/>
    <w:rsid w:val="0027469E"/>
    <w:rsid w:val="002750FD"/>
    <w:rsid w:val="00275145"/>
    <w:rsid w:val="0027578A"/>
    <w:rsid w:val="00276154"/>
    <w:rsid w:val="00276BD6"/>
    <w:rsid w:val="00277BFF"/>
    <w:rsid w:val="00280A78"/>
    <w:rsid w:val="00281544"/>
    <w:rsid w:val="0028400F"/>
    <w:rsid w:val="00284458"/>
    <w:rsid w:val="00286A25"/>
    <w:rsid w:val="00286DC9"/>
    <w:rsid w:val="00290A92"/>
    <w:rsid w:val="00291061"/>
    <w:rsid w:val="00292C7D"/>
    <w:rsid w:val="00292D49"/>
    <w:rsid w:val="0029357B"/>
    <w:rsid w:val="0029471F"/>
    <w:rsid w:val="00294E91"/>
    <w:rsid w:val="00295972"/>
    <w:rsid w:val="002A1A07"/>
    <w:rsid w:val="002A1EC3"/>
    <w:rsid w:val="002A3EE6"/>
    <w:rsid w:val="002A4C68"/>
    <w:rsid w:val="002A53FD"/>
    <w:rsid w:val="002A5763"/>
    <w:rsid w:val="002A601B"/>
    <w:rsid w:val="002A6749"/>
    <w:rsid w:val="002A6B01"/>
    <w:rsid w:val="002A70BB"/>
    <w:rsid w:val="002A7BE1"/>
    <w:rsid w:val="002B01F9"/>
    <w:rsid w:val="002B05A0"/>
    <w:rsid w:val="002B26D1"/>
    <w:rsid w:val="002B296C"/>
    <w:rsid w:val="002B3103"/>
    <w:rsid w:val="002B3F82"/>
    <w:rsid w:val="002B459C"/>
    <w:rsid w:val="002B5123"/>
    <w:rsid w:val="002B55F1"/>
    <w:rsid w:val="002B5F27"/>
    <w:rsid w:val="002B6C47"/>
    <w:rsid w:val="002B77C4"/>
    <w:rsid w:val="002B79B6"/>
    <w:rsid w:val="002C0C13"/>
    <w:rsid w:val="002C2A11"/>
    <w:rsid w:val="002C2C0C"/>
    <w:rsid w:val="002C4BB3"/>
    <w:rsid w:val="002C6771"/>
    <w:rsid w:val="002C7DD6"/>
    <w:rsid w:val="002D1606"/>
    <w:rsid w:val="002D1968"/>
    <w:rsid w:val="002D24AF"/>
    <w:rsid w:val="002D374B"/>
    <w:rsid w:val="002D4C56"/>
    <w:rsid w:val="002D6D65"/>
    <w:rsid w:val="002D7194"/>
    <w:rsid w:val="002D754C"/>
    <w:rsid w:val="002E0A4A"/>
    <w:rsid w:val="002E26C5"/>
    <w:rsid w:val="002E2BE7"/>
    <w:rsid w:val="002E320D"/>
    <w:rsid w:val="002E3C9A"/>
    <w:rsid w:val="002E6281"/>
    <w:rsid w:val="002F0430"/>
    <w:rsid w:val="002F0478"/>
    <w:rsid w:val="002F15FB"/>
    <w:rsid w:val="002F1ED1"/>
    <w:rsid w:val="002F2A12"/>
    <w:rsid w:val="002F37C7"/>
    <w:rsid w:val="002F41D7"/>
    <w:rsid w:val="002F4533"/>
    <w:rsid w:val="002F47C1"/>
    <w:rsid w:val="002F60C2"/>
    <w:rsid w:val="002F7BD4"/>
    <w:rsid w:val="002F7FDC"/>
    <w:rsid w:val="00300F9D"/>
    <w:rsid w:val="00301FB0"/>
    <w:rsid w:val="00302A45"/>
    <w:rsid w:val="00302C09"/>
    <w:rsid w:val="00303293"/>
    <w:rsid w:val="00303C26"/>
    <w:rsid w:val="0030472F"/>
    <w:rsid w:val="00305D6C"/>
    <w:rsid w:val="00307EC5"/>
    <w:rsid w:val="00310C48"/>
    <w:rsid w:val="003125F6"/>
    <w:rsid w:val="00312E15"/>
    <w:rsid w:val="0031513A"/>
    <w:rsid w:val="00317CDE"/>
    <w:rsid w:val="00317FE8"/>
    <w:rsid w:val="00320396"/>
    <w:rsid w:val="00320547"/>
    <w:rsid w:val="00320586"/>
    <w:rsid w:val="00321290"/>
    <w:rsid w:val="00321C15"/>
    <w:rsid w:val="00322DBF"/>
    <w:rsid w:val="0032303A"/>
    <w:rsid w:val="00325590"/>
    <w:rsid w:val="00325621"/>
    <w:rsid w:val="00326374"/>
    <w:rsid w:val="00326453"/>
    <w:rsid w:val="003270AA"/>
    <w:rsid w:val="00327372"/>
    <w:rsid w:val="00327976"/>
    <w:rsid w:val="00331A50"/>
    <w:rsid w:val="003326A7"/>
    <w:rsid w:val="00333673"/>
    <w:rsid w:val="0033435E"/>
    <w:rsid w:val="003358D6"/>
    <w:rsid w:val="00335C1B"/>
    <w:rsid w:val="00335C8D"/>
    <w:rsid w:val="00335C8F"/>
    <w:rsid w:val="00336B89"/>
    <w:rsid w:val="00341928"/>
    <w:rsid w:val="00341C2F"/>
    <w:rsid w:val="00342041"/>
    <w:rsid w:val="003424D6"/>
    <w:rsid w:val="00343294"/>
    <w:rsid w:val="0034397E"/>
    <w:rsid w:val="00345AAB"/>
    <w:rsid w:val="00346375"/>
    <w:rsid w:val="00347970"/>
    <w:rsid w:val="00347B24"/>
    <w:rsid w:val="003508A4"/>
    <w:rsid w:val="00350A13"/>
    <w:rsid w:val="0035294B"/>
    <w:rsid w:val="00355086"/>
    <w:rsid w:val="003553A9"/>
    <w:rsid w:val="003553D2"/>
    <w:rsid w:val="0035604C"/>
    <w:rsid w:val="0036075D"/>
    <w:rsid w:val="00360DD7"/>
    <w:rsid w:val="0036542D"/>
    <w:rsid w:val="0036580C"/>
    <w:rsid w:val="003660FB"/>
    <w:rsid w:val="00367479"/>
    <w:rsid w:val="0037120E"/>
    <w:rsid w:val="003718CC"/>
    <w:rsid w:val="00372A08"/>
    <w:rsid w:val="00374549"/>
    <w:rsid w:val="00376767"/>
    <w:rsid w:val="00377C38"/>
    <w:rsid w:val="003803F0"/>
    <w:rsid w:val="003804A0"/>
    <w:rsid w:val="00380EA4"/>
    <w:rsid w:val="003811BC"/>
    <w:rsid w:val="00383B2A"/>
    <w:rsid w:val="00384006"/>
    <w:rsid w:val="0038444E"/>
    <w:rsid w:val="003844CC"/>
    <w:rsid w:val="00385031"/>
    <w:rsid w:val="00385E75"/>
    <w:rsid w:val="003873E0"/>
    <w:rsid w:val="00387962"/>
    <w:rsid w:val="00391392"/>
    <w:rsid w:val="00393E15"/>
    <w:rsid w:val="00393F4E"/>
    <w:rsid w:val="00396202"/>
    <w:rsid w:val="00396CAF"/>
    <w:rsid w:val="00397C81"/>
    <w:rsid w:val="00397EBF"/>
    <w:rsid w:val="003A09EE"/>
    <w:rsid w:val="003A3273"/>
    <w:rsid w:val="003A38A9"/>
    <w:rsid w:val="003A4644"/>
    <w:rsid w:val="003A4A23"/>
    <w:rsid w:val="003A59A4"/>
    <w:rsid w:val="003B0236"/>
    <w:rsid w:val="003B164E"/>
    <w:rsid w:val="003B1AF9"/>
    <w:rsid w:val="003B2761"/>
    <w:rsid w:val="003B29E4"/>
    <w:rsid w:val="003B2D60"/>
    <w:rsid w:val="003B2F69"/>
    <w:rsid w:val="003B31AA"/>
    <w:rsid w:val="003B398D"/>
    <w:rsid w:val="003B3EC1"/>
    <w:rsid w:val="003B5A73"/>
    <w:rsid w:val="003B67FE"/>
    <w:rsid w:val="003B683A"/>
    <w:rsid w:val="003B792A"/>
    <w:rsid w:val="003C13B6"/>
    <w:rsid w:val="003C2A8E"/>
    <w:rsid w:val="003C38F8"/>
    <w:rsid w:val="003C4B7A"/>
    <w:rsid w:val="003C616F"/>
    <w:rsid w:val="003C64D0"/>
    <w:rsid w:val="003C6569"/>
    <w:rsid w:val="003C6B0E"/>
    <w:rsid w:val="003C6F33"/>
    <w:rsid w:val="003D28E0"/>
    <w:rsid w:val="003D32C3"/>
    <w:rsid w:val="003D3CE7"/>
    <w:rsid w:val="003D3EEF"/>
    <w:rsid w:val="003D46CB"/>
    <w:rsid w:val="003D4809"/>
    <w:rsid w:val="003E0A91"/>
    <w:rsid w:val="003E0C99"/>
    <w:rsid w:val="003E3294"/>
    <w:rsid w:val="003E3A15"/>
    <w:rsid w:val="003E683E"/>
    <w:rsid w:val="003E774C"/>
    <w:rsid w:val="003E7F01"/>
    <w:rsid w:val="003F2637"/>
    <w:rsid w:val="003F26C2"/>
    <w:rsid w:val="003F4849"/>
    <w:rsid w:val="003F56F8"/>
    <w:rsid w:val="003F6060"/>
    <w:rsid w:val="003F60C8"/>
    <w:rsid w:val="003F6655"/>
    <w:rsid w:val="003F70FF"/>
    <w:rsid w:val="00401578"/>
    <w:rsid w:val="0040194D"/>
    <w:rsid w:val="00402238"/>
    <w:rsid w:val="00402628"/>
    <w:rsid w:val="00402F5A"/>
    <w:rsid w:val="00403B53"/>
    <w:rsid w:val="00403BFF"/>
    <w:rsid w:val="00405CB8"/>
    <w:rsid w:val="00405ECA"/>
    <w:rsid w:val="00406130"/>
    <w:rsid w:val="00406671"/>
    <w:rsid w:val="00406D67"/>
    <w:rsid w:val="00406EBE"/>
    <w:rsid w:val="00407293"/>
    <w:rsid w:val="00407337"/>
    <w:rsid w:val="004077C6"/>
    <w:rsid w:val="00407F72"/>
    <w:rsid w:val="004104F0"/>
    <w:rsid w:val="0041088F"/>
    <w:rsid w:val="00410D06"/>
    <w:rsid w:val="00410F75"/>
    <w:rsid w:val="00411BBD"/>
    <w:rsid w:val="00412E98"/>
    <w:rsid w:val="00413A94"/>
    <w:rsid w:val="004140D1"/>
    <w:rsid w:val="004149A8"/>
    <w:rsid w:val="004150C8"/>
    <w:rsid w:val="0042016F"/>
    <w:rsid w:val="00422DB4"/>
    <w:rsid w:val="00423DC3"/>
    <w:rsid w:val="00424A34"/>
    <w:rsid w:val="00425142"/>
    <w:rsid w:val="00426581"/>
    <w:rsid w:val="0042669D"/>
    <w:rsid w:val="00426AEB"/>
    <w:rsid w:val="0042739A"/>
    <w:rsid w:val="00430926"/>
    <w:rsid w:val="00430CE4"/>
    <w:rsid w:val="004311B3"/>
    <w:rsid w:val="00431A79"/>
    <w:rsid w:val="00431AB5"/>
    <w:rsid w:val="004326F0"/>
    <w:rsid w:val="00433A8B"/>
    <w:rsid w:val="00433F7F"/>
    <w:rsid w:val="00434567"/>
    <w:rsid w:val="00436620"/>
    <w:rsid w:val="00436898"/>
    <w:rsid w:val="00440563"/>
    <w:rsid w:val="00441306"/>
    <w:rsid w:val="004433BF"/>
    <w:rsid w:val="00443BD4"/>
    <w:rsid w:val="00444011"/>
    <w:rsid w:val="00447A17"/>
    <w:rsid w:val="004538CF"/>
    <w:rsid w:val="00457152"/>
    <w:rsid w:val="004574D0"/>
    <w:rsid w:val="00461A24"/>
    <w:rsid w:val="00465C4E"/>
    <w:rsid w:val="00465D57"/>
    <w:rsid w:val="00465EAB"/>
    <w:rsid w:val="00465FAB"/>
    <w:rsid w:val="00466811"/>
    <w:rsid w:val="00467851"/>
    <w:rsid w:val="00467D70"/>
    <w:rsid w:val="00467F05"/>
    <w:rsid w:val="00467F6B"/>
    <w:rsid w:val="00471C79"/>
    <w:rsid w:val="00472027"/>
    <w:rsid w:val="00472CD2"/>
    <w:rsid w:val="00473C1B"/>
    <w:rsid w:val="00474B1C"/>
    <w:rsid w:val="004760BB"/>
    <w:rsid w:val="004802BC"/>
    <w:rsid w:val="004829E2"/>
    <w:rsid w:val="004856D9"/>
    <w:rsid w:val="004873B3"/>
    <w:rsid w:val="004876A8"/>
    <w:rsid w:val="00487E6A"/>
    <w:rsid w:val="00490288"/>
    <w:rsid w:val="00491C3B"/>
    <w:rsid w:val="0049276C"/>
    <w:rsid w:val="00494709"/>
    <w:rsid w:val="004A049F"/>
    <w:rsid w:val="004A2708"/>
    <w:rsid w:val="004A34BD"/>
    <w:rsid w:val="004A3534"/>
    <w:rsid w:val="004A3B29"/>
    <w:rsid w:val="004A47AE"/>
    <w:rsid w:val="004A58F3"/>
    <w:rsid w:val="004A59D0"/>
    <w:rsid w:val="004A7922"/>
    <w:rsid w:val="004B1D82"/>
    <w:rsid w:val="004B302B"/>
    <w:rsid w:val="004B57E3"/>
    <w:rsid w:val="004B6633"/>
    <w:rsid w:val="004B680C"/>
    <w:rsid w:val="004B6F16"/>
    <w:rsid w:val="004B75E7"/>
    <w:rsid w:val="004B7AA1"/>
    <w:rsid w:val="004C0C53"/>
    <w:rsid w:val="004C1215"/>
    <w:rsid w:val="004C140E"/>
    <w:rsid w:val="004C2A3C"/>
    <w:rsid w:val="004C3EF7"/>
    <w:rsid w:val="004C61CB"/>
    <w:rsid w:val="004C638F"/>
    <w:rsid w:val="004C6B1E"/>
    <w:rsid w:val="004C6D0B"/>
    <w:rsid w:val="004D002F"/>
    <w:rsid w:val="004D02D1"/>
    <w:rsid w:val="004D11A3"/>
    <w:rsid w:val="004D2ED1"/>
    <w:rsid w:val="004D387C"/>
    <w:rsid w:val="004D422C"/>
    <w:rsid w:val="004E11A5"/>
    <w:rsid w:val="004E2DD5"/>
    <w:rsid w:val="004E4A11"/>
    <w:rsid w:val="004E4ACC"/>
    <w:rsid w:val="004E5B08"/>
    <w:rsid w:val="004E5BEE"/>
    <w:rsid w:val="004E6D48"/>
    <w:rsid w:val="004E7495"/>
    <w:rsid w:val="004F18A3"/>
    <w:rsid w:val="004F198D"/>
    <w:rsid w:val="004F2A64"/>
    <w:rsid w:val="004F2A72"/>
    <w:rsid w:val="004F3B38"/>
    <w:rsid w:val="004F4135"/>
    <w:rsid w:val="004F466B"/>
    <w:rsid w:val="004F4871"/>
    <w:rsid w:val="004F499F"/>
    <w:rsid w:val="004F539F"/>
    <w:rsid w:val="004F59FE"/>
    <w:rsid w:val="004F6064"/>
    <w:rsid w:val="004F620C"/>
    <w:rsid w:val="004F67E5"/>
    <w:rsid w:val="004F7FDD"/>
    <w:rsid w:val="00501883"/>
    <w:rsid w:val="00504EC0"/>
    <w:rsid w:val="00504FFF"/>
    <w:rsid w:val="005065C7"/>
    <w:rsid w:val="00507E51"/>
    <w:rsid w:val="005115A4"/>
    <w:rsid w:val="00512298"/>
    <w:rsid w:val="0051345B"/>
    <w:rsid w:val="00513901"/>
    <w:rsid w:val="00514431"/>
    <w:rsid w:val="00514506"/>
    <w:rsid w:val="00515226"/>
    <w:rsid w:val="005157BE"/>
    <w:rsid w:val="00515855"/>
    <w:rsid w:val="00521A5F"/>
    <w:rsid w:val="00521E33"/>
    <w:rsid w:val="005237CD"/>
    <w:rsid w:val="00523AF0"/>
    <w:rsid w:val="00523D58"/>
    <w:rsid w:val="0052503C"/>
    <w:rsid w:val="00525B7B"/>
    <w:rsid w:val="005307BF"/>
    <w:rsid w:val="00530F90"/>
    <w:rsid w:val="005310AC"/>
    <w:rsid w:val="00531964"/>
    <w:rsid w:val="0053239E"/>
    <w:rsid w:val="00533E3D"/>
    <w:rsid w:val="00534AC4"/>
    <w:rsid w:val="00535422"/>
    <w:rsid w:val="00535913"/>
    <w:rsid w:val="00535BCC"/>
    <w:rsid w:val="00536AB0"/>
    <w:rsid w:val="005372B6"/>
    <w:rsid w:val="005406A5"/>
    <w:rsid w:val="005408FF"/>
    <w:rsid w:val="00543B8C"/>
    <w:rsid w:val="00543E18"/>
    <w:rsid w:val="0054658B"/>
    <w:rsid w:val="00551857"/>
    <w:rsid w:val="005518F8"/>
    <w:rsid w:val="00552581"/>
    <w:rsid w:val="00552834"/>
    <w:rsid w:val="00553C3F"/>
    <w:rsid w:val="00555149"/>
    <w:rsid w:val="00555E58"/>
    <w:rsid w:val="005573C1"/>
    <w:rsid w:val="0055740B"/>
    <w:rsid w:val="00557C37"/>
    <w:rsid w:val="00560645"/>
    <w:rsid w:val="00561C4B"/>
    <w:rsid w:val="00561C90"/>
    <w:rsid w:val="0056209B"/>
    <w:rsid w:val="005623A5"/>
    <w:rsid w:val="005648C3"/>
    <w:rsid w:val="0056598B"/>
    <w:rsid w:val="00566176"/>
    <w:rsid w:val="00567409"/>
    <w:rsid w:val="005675B1"/>
    <w:rsid w:val="005676C7"/>
    <w:rsid w:val="005678F0"/>
    <w:rsid w:val="00570516"/>
    <w:rsid w:val="005712B7"/>
    <w:rsid w:val="00571CED"/>
    <w:rsid w:val="00571DED"/>
    <w:rsid w:val="00573554"/>
    <w:rsid w:val="00577327"/>
    <w:rsid w:val="00577C9A"/>
    <w:rsid w:val="00580455"/>
    <w:rsid w:val="0058059E"/>
    <w:rsid w:val="0058081C"/>
    <w:rsid w:val="005812B8"/>
    <w:rsid w:val="00582B51"/>
    <w:rsid w:val="0058302A"/>
    <w:rsid w:val="005843EA"/>
    <w:rsid w:val="00584BE7"/>
    <w:rsid w:val="005859A9"/>
    <w:rsid w:val="00585C58"/>
    <w:rsid w:val="005865A4"/>
    <w:rsid w:val="00587E7A"/>
    <w:rsid w:val="00591BD3"/>
    <w:rsid w:val="00592AED"/>
    <w:rsid w:val="00593125"/>
    <w:rsid w:val="00593743"/>
    <w:rsid w:val="00593B32"/>
    <w:rsid w:val="0059516F"/>
    <w:rsid w:val="00595871"/>
    <w:rsid w:val="00595EEF"/>
    <w:rsid w:val="00596414"/>
    <w:rsid w:val="005964AA"/>
    <w:rsid w:val="00596F30"/>
    <w:rsid w:val="00597714"/>
    <w:rsid w:val="00597795"/>
    <w:rsid w:val="005A0713"/>
    <w:rsid w:val="005A0A59"/>
    <w:rsid w:val="005A10C8"/>
    <w:rsid w:val="005A1CD2"/>
    <w:rsid w:val="005A2191"/>
    <w:rsid w:val="005A2211"/>
    <w:rsid w:val="005A2568"/>
    <w:rsid w:val="005A2875"/>
    <w:rsid w:val="005B0443"/>
    <w:rsid w:val="005B058A"/>
    <w:rsid w:val="005B17EA"/>
    <w:rsid w:val="005B2FB7"/>
    <w:rsid w:val="005B3FAD"/>
    <w:rsid w:val="005B4B6D"/>
    <w:rsid w:val="005B4E78"/>
    <w:rsid w:val="005B4F7D"/>
    <w:rsid w:val="005B5034"/>
    <w:rsid w:val="005B56EB"/>
    <w:rsid w:val="005B69AB"/>
    <w:rsid w:val="005B7298"/>
    <w:rsid w:val="005C0D10"/>
    <w:rsid w:val="005C1045"/>
    <w:rsid w:val="005C1672"/>
    <w:rsid w:val="005C3E25"/>
    <w:rsid w:val="005C423E"/>
    <w:rsid w:val="005C43DD"/>
    <w:rsid w:val="005C44EC"/>
    <w:rsid w:val="005C4DB1"/>
    <w:rsid w:val="005C53BB"/>
    <w:rsid w:val="005C598A"/>
    <w:rsid w:val="005C6A06"/>
    <w:rsid w:val="005C7007"/>
    <w:rsid w:val="005C732A"/>
    <w:rsid w:val="005C7D68"/>
    <w:rsid w:val="005D0401"/>
    <w:rsid w:val="005D2846"/>
    <w:rsid w:val="005D3B8A"/>
    <w:rsid w:val="005D3DDE"/>
    <w:rsid w:val="005D72B1"/>
    <w:rsid w:val="005E059B"/>
    <w:rsid w:val="005E0C64"/>
    <w:rsid w:val="005E113F"/>
    <w:rsid w:val="005E2FEF"/>
    <w:rsid w:val="005E443F"/>
    <w:rsid w:val="005E4C07"/>
    <w:rsid w:val="005E76B0"/>
    <w:rsid w:val="005E7EA8"/>
    <w:rsid w:val="005F1A05"/>
    <w:rsid w:val="005F38E2"/>
    <w:rsid w:val="005F4783"/>
    <w:rsid w:val="005F581B"/>
    <w:rsid w:val="005F643C"/>
    <w:rsid w:val="0060039F"/>
    <w:rsid w:val="0060189A"/>
    <w:rsid w:val="006019F0"/>
    <w:rsid w:val="00602EF5"/>
    <w:rsid w:val="006039A6"/>
    <w:rsid w:val="00604748"/>
    <w:rsid w:val="006061CB"/>
    <w:rsid w:val="006069EB"/>
    <w:rsid w:val="006079BB"/>
    <w:rsid w:val="00610730"/>
    <w:rsid w:val="00611427"/>
    <w:rsid w:val="0061206F"/>
    <w:rsid w:val="0061229D"/>
    <w:rsid w:val="00612769"/>
    <w:rsid w:val="0061355F"/>
    <w:rsid w:val="0061597F"/>
    <w:rsid w:val="0061645E"/>
    <w:rsid w:val="00616627"/>
    <w:rsid w:val="00616F1A"/>
    <w:rsid w:val="006174A6"/>
    <w:rsid w:val="00617645"/>
    <w:rsid w:val="006179B5"/>
    <w:rsid w:val="00620733"/>
    <w:rsid w:val="00620DB2"/>
    <w:rsid w:val="0062172B"/>
    <w:rsid w:val="00624D88"/>
    <w:rsid w:val="006255B7"/>
    <w:rsid w:val="0062590A"/>
    <w:rsid w:val="00626DF7"/>
    <w:rsid w:val="00631649"/>
    <w:rsid w:val="00632A01"/>
    <w:rsid w:val="00632E0F"/>
    <w:rsid w:val="00632E61"/>
    <w:rsid w:val="0063396D"/>
    <w:rsid w:val="006341F4"/>
    <w:rsid w:val="006362AA"/>
    <w:rsid w:val="0063635B"/>
    <w:rsid w:val="00636AEF"/>
    <w:rsid w:val="006377A1"/>
    <w:rsid w:val="00637D53"/>
    <w:rsid w:val="006409B0"/>
    <w:rsid w:val="00640A24"/>
    <w:rsid w:val="00641760"/>
    <w:rsid w:val="00641DC5"/>
    <w:rsid w:val="00642CCA"/>
    <w:rsid w:val="0064438B"/>
    <w:rsid w:val="00645596"/>
    <w:rsid w:val="006466E9"/>
    <w:rsid w:val="0064677E"/>
    <w:rsid w:val="0065062B"/>
    <w:rsid w:val="006510DD"/>
    <w:rsid w:val="0065187B"/>
    <w:rsid w:val="0065217A"/>
    <w:rsid w:val="00652335"/>
    <w:rsid w:val="006523FA"/>
    <w:rsid w:val="006536A9"/>
    <w:rsid w:val="00653798"/>
    <w:rsid w:val="0065671A"/>
    <w:rsid w:val="0066187A"/>
    <w:rsid w:val="00661A1D"/>
    <w:rsid w:val="00663979"/>
    <w:rsid w:val="00663D9C"/>
    <w:rsid w:val="00667822"/>
    <w:rsid w:val="00667A87"/>
    <w:rsid w:val="006729C2"/>
    <w:rsid w:val="00673CAA"/>
    <w:rsid w:val="006744DF"/>
    <w:rsid w:val="00674F37"/>
    <w:rsid w:val="00675B06"/>
    <w:rsid w:val="0067695A"/>
    <w:rsid w:val="00677346"/>
    <w:rsid w:val="006807CC"/>
    <w:rsid w:val="00680F40"/>
    <w:rsid w:val="0068241D"/>
    <w:rsid w:val="0068368C"/>
    <w:rsid w:val="00683F40"/>
    <w:rsid w:val="00686E82"/>
    <w:rsid w:val="0068772E"/>
    <w:rsid w:val="00690005"/>
    <w:rsid w:val="0069041E"/>
    <w:rsid w:val="006925D1"/>
    <w:rsid w:val="00692A96"/>
    <w:rsid w:val="00693C0C"/>
    <w:rsid w:val="00693F1E"/>
    <w:rsid w:val="006943C2"/>
    <w:rsid w:val="00696272"/>
    <w:rsid w:val="00696E2F"/>
    <w:rsid w:val="00697979"/>
    <w:rsid w:val="006A0911"/>
    <w:rsid w:val="006A0EB4"/>
    <w:rsid w:val="006A11AE"/>
    <w:rsid w:val="006A1763"/>
    <w:rsid w:val="006A1AEF"/>
    <w:rsid w:val="006A3D1D"/>
    <w:rsid w:val="006A4DCC"/>
    <w:rsid w:val="006A56C8"/>
    <w:rsid w:val="006A5A7C"/>
    <w:rsid w:val="006A72E6"/>
    <w:rsid w:val="006A78B5"/>
    <w:rsid w:val="006B07B5"/>
    <w:rsid w:val="006B1C60"/>
    <w:rsid w:val="006B1E8B"/>
    <w:rsid w:val="006B24F8"/>
    <w:rsid w:val="006B3148"/>
    <w:rsid w:val="006B395D"/>
    <w:rsid w:val="006B5228"/>
    <w:rsid w:val="006B542D"/>
    <w:rsid w:val="006B577F"/>
    <w:rsid w:val="006B5801"/>
    <w:rsid w:val="006B5EC0"/>
    <w:rsid w:val="006C0BA9"/>
    <w:rsid w:val="006C1B9B"/>
    <w:rsid w:val="006C2BBA"/>
    <w:rsid w:val="006C31FE"/>
    <w:rsid w:val="006C40CB"/>
    <w:rsid w:val="006C4911"/>
    <w:rsid w:val="006C79E8"/>
    <w:rsid w:val="006D0291"/>
    <w:rsid w:val="006D1EAE"/>
    <w:rsid w:val="006D22A1"/>
    <w:rsid w:val="006D2C5F"/>
    <w:rsid w:val="006D2D31"/>
    <w:rsid w:val="006D3CFA"/>
    <w:rsid w:val="006D44D8"/>
    <w:rsid w:val="006D7A2A"/>
    <w:rsid w:val="006E1448"/>
    <w:rsid w:val="006E5103"/>
    <w:rsid w:val="006E5B17"/>
    <w:rsid w:val="006E5F38"/>
    <w:rsid w:val="006E6E1D"/>
    <w:rsid w:val="006E6E7F"/>
    <w:rsid w:val="006E7E9A"/>
    <w:rsid w:val="006F1499"/>
    <w:rsid w:val="006F2AD0"/>
    <w:rsid w:val="006F2C45"/>
    <w:rsid w:val="006F3A8E"/>
    <w:rsid w:val="006F4CCF"/>
    <w:rsid w:val="006F5230"/>
    <w:rsid w:val="006F5242"/>
    <w:rsid w:val="006F5C5F"/>
    <w:rsid w:val="006F7DAA"/>
    <w:rsid w:val="00701289"/>
    <w:rsid w:val="007016A0"/>
    <w:rsid w:val="0070201A"/>
    <w:rsid w:val="00702F1E"/>
    <w:rsid w:val="00707089"/>
    <w:rsid w:val="00707A8C"/>
    <w:rsid w:val="007101DF"/>
    <w:rsid w:val="007116AC"/>
    <w:rsid w:val="00713068"/>
    <w:rsid w:val="00713B2A"/>
    <w:rsid w:val="0071556F"/>
    <w:rsid w:val="00717831"/>
    <w:rsid w:val="00720DEB"/>
    <w:rsid w:val="00721921"/>
    <w:rsid w:val="00725366"/>
    <w:rsid w:val="00725EC1"/>
    <w:rsid w:val="00725FE3"/>
    <w:rsid w:val="00727316"/>
    <w:rsid w:val="0073163E"/>
    <w:rsid w:val="00732AB8"/>
    <w:rsid w:val="00732F49"/>
    <w:rsid w:val="007337B3"/>
    <w:rsid w:val="0073441B"/>
    <w:rsid w:val="0073641F"/>
    <w:rsid w:val="0073686B"/>
    <w:rsid w:val="00737D9E"/>
    <w:rsid w:val="00737EF6"/>
    <w:rsid w:val="00740006"/>
    <w:rsid w:val="007405B4"/>
    <w:rsid w:val="007408E4"/>
    <w:rsid w:val="00741215"/>
    <w:rsid w:val="00744599"/>
    <w:rsid w:val="007459DE"/>
    <w:rsid w:val="00747C1E"/>
    <w:rsid w:val="00752291"/>
    <w:rsid w:val="007527D9"/>
    <w:rsid w:val="00754437"/>
    <w:rsid w:val="00754D9C"/>
    <w:rsid w:val="00756341"/>
    <w:rsid w:val="007565C5"/>
    <w:rsid w:val="0076061B"/>
    <w:rsid w:val="00761A02"/>
    <w:rsid w:val="00761B73"/>
    <w:rsid w:val="00761EF2"/>
    <w:rsid w:val="00762528"/>
    <w:rsid w:val="0076384A"/>
    <w:rsid w:val="00763CBE"/>
    <w:rsid w:val="007650EA"/>
    <w:rsid w:val="00765C7C"/>
    <w:rsid w:val="0076646B"/>
    <w:rsid w:val="007674CA"/>
    <w:rsid w:val="007676FE"/>
    <w:rsid w:val="00771A3B"/>
    <w:rsid w:val="0077213D"/>
    <w:rsid w:val="00773686"/>
    <w:rsid w:val="00773939"/>
    <w:rsid w:val="00773E8E"/>
    <w:rsid w:val="007741EA"/>
    <w:rsid w:val="007749EE"/>
    <w:rsid w:val="00774D9A"/>
    <w:rsid w:val="00774F6E"/>
    <w:rsid w:val="00775ACF"/>
    <w:rsid w:val="00775CA0"/>
    <w:rsid w:val="00775EF7"/>
    <w:rsid w:val="00776873"/>
    <w:rsid w:val="00776AC5"/>
    <w:rsid w:val="00776CC6"/>
    <w:rsid w:val="00780BB2"/>
    <w:rsid w:val="007817F2"/>
    <w:rsid w:val="00782E63"/>
    <w:rsid w:val="007841D1"/>
    <w:rsid w:val="0078584F"/>
    <w:rsid w:val="00785C3A"/>
    <w:rsid w:val="00786592"/>
    <w:rsid w:val="0078666A"/>
    <w:rsid w:val="00787315"/>
    <w:rsid w:val="007877FD"/>
    <w:rsid w:val="007879EB"/>
    <w:rsid w:val="007904D3"/>
    <w:rsid w:val="007909E0"/>
    <w:rsid w:val="00790FA3"/>
    <w:rsid w:val="007918E8"/>
    <w:rsid w:val="00792695"/>
    <w:rsid w:val="00793251"/>
    <w:rsid w:val="007966ED"/>
    <w:rsid w:val="00796895"/>
    <w:rsid w:val="007977B7"/>
    <w:rsid w:val="007A0EA0"/>
    <w:rsid w:val="007A12A9"/>
    <w:rsid w:val="007A1745"/>
    <w:rsid w:val="007A278C"/>
    <w:rsid w:val="007A460C"/>
    <w:rsid w:val="007A51AA"/>
    <w:rsid w:val="007A6147"/>
    <w:rsid w:val="007A61F6"/>
    <w:rsid w:val="007A6840"/>
    <w:rsid w:val="007A69A2"/>
    <w:rsid w:val="007A6F0C"/>
    <w:rsid w:val="007B1B6D"/>
    <w:rsid w:val="007B229C"/>
    <w:rsid w:val="007B2793"/>
    <w:rsid w:val="007B2CC7"/>
    <w:rsid w:val="007B2E4D"/>
    <w:rsid w:val="007B2F2A"/>
    <w:rsid w:val="007B4A01"/>
    <w:rsid w:val="007B50DC"/>
    <w:rsid w:val="007B5317"/>
    <w:rsid w:val="007B5497"/>
    <w:rsid w:val="007B6FCB"/>
    <w:rsid w:val="007C0124"/>
    <w:rsid w:val="007C06B4"/>
    <w:rsid w:val="007C1CD2"/>
    <w:rsid w:val="007C2961"/>
    <w:rsid w:val="007C2978"/>
    <w:rsid w:val="007C4D6D"/>
    <w:rsid w:val="007C5682"/>
    <w:rsid w:val="007D0D0E"/>
    <w:rsid w:val="007D1A51"/>
    <w:rsid w:val="007D2D50"/>
    <w:rsid w:val="007D2DB8"/>
    <w:rsid w:val="007D3900"/>
    <w:rsid w:val="007D4E24"/>
    <w:rsid w:val="007D77D6"/>
    <w:rsid w:val="007D7C75"/>
    <w:rsid w:val="007D7EC2"/>
    <w:rsid w:val="007E0357"/>
    <w:rsid w:val="007E056A"/>
    <w:rsid w:val="007E08F2"/>
    <w:rsid w:val="007E1220"/>
    <w:rsid w:val="007E14C9"/>
    <w:rsid w:val="007E17DC"/>
    <w:rsid w:val="007E19AA"/>
    <w:rsid w:val="007E1D3D"/>
    <w:rsid w:val="007E2795"/>
    <w:rsid w:val="007E31E8"/>
    <w:rsid w:val="007E3923"/>
    <w:rsid w:val="007E3CA9"/>
    <w:rsid w:val="007E4B30"/>
    <w:rsid w:val="007E4DE1"/>
    <w:rsid w:val="007E5DA5"/>
    <w:rsid w:val="007E5EE8"/>
    <w:rsid w:val="007E76CF"/>
    <w:rsid w:val="007F0B90"/>
    <w:rsid w:val="007F32A0"/>
    <w:rsid w:val="007F384B"/>
    <w:rsid w:val="007F3DF5"/>
    <w:rsid w:val="007F43B5"/>
    <w:rsid w:val="007F45E4"/>
    <w:rsid w:val="007F5505"/>
    <w:rsid w:val="007F5BFB"/>
    <w:rsid w:val="00800177"/>
    <w:rsid w:val="00800451"/>
    <w:rsid w:val="00801274"/>
    <w:rsid w:val="00801D93"/>
    <w:rsid w:val="00804C61"/>
    <w:rsid w:val="00805FC2"/>
    <w:rsid w:val="00805FD2"/>
    <w:rsid w:val="00806B60"/>
    <w:rsid w:val="00806BE6"/>
    <w:rsid w:val="00807281"/>
    <w:rsid w:val="00807A51"/>
    <w:rsid w:val="00810AC1"/>
    <w:rsid w:val="008119B9"/>
    <w:rsid w:val="00812021"/>
    <w:rsid w:val="008128C7"/>
    <w:rsid w:val="00813FEC"/>
    <w:rsid w:val="00814EF5"/>
    <w:rsid w:val="0081515C"/>
    <w:rsid w:val="008158C9"/>
    <w:rsid w:val="00817E15"/>
    <w:rsid w:val="00820337"/>
    <w:rsid w:val="00823BBB"/>
    <w:rsid w:val="00823E50"/>
    <w:rsid w:val="008263C9"/>
    <w:rsid w:val="0082677F"/>
    <w:rsid w:val="00826870"/>
    <w:rsid w:val="0082707F"/>
    <w:rsid w:val="008301D2"/>
    <w:rsid w:val="00831777"/>
    <w:rsid w:val="0083389E"/>
    <w:rsid w:val="0083392D"/>
    <w:rsid w:val="0083541B"/>
    <w:rsid w:val="00835874"/>
    <w:rsid w:val="008367B4"/>
    <w:rsid w:val="00837CDD"/>
    <w:rsid w:val="0084077C"/>
    <w:rsid w:val="00842560"/>
    <w:rsid w:val="00842CA9"/>
    <w:rsid w:val="008435E8"/>
    <w:rsid w:val="008444A0"/>
    <w:rsid w:val="00844E3F"/>
    <w:rsid w:val="0084527C"/>
    <w:rsid w:val="00845654"/>
    <w:rsid w:val="00845EFD"/>
    <w:rsid w:val="00846B12"/>
    <w:rsid w:val="00847419"/>
    <w:rsid w:val="008518D7"/>
    <w:rsid w:val="008538BB"/>
    <w:rsid w:val="008543D4"/>
    <w:rsid w:val="00855881"/>
    <w:rsid w:val="008558F2"/>
    <w:rsid w:val="00856C14"/>
    <w:rsid w:val="00860392"/>
    <w:rsid w:val="00860C7F"/>
    <w:rsid w:val="0086187C"/>
    <w:rsid w:val="00862115"/>
    <w:rsid w:val="008630DC"/>
    <w:rsid w:val="00864FDC"/>
    <w:rsid w:val="008661B0"/>
    <w:rsid w:val="00867780"/>
    <w:rsid w:val="0087117F"/>
    <w:rsid w:val="008712FA"/>
    <w:rsid w:val="008721EB"/>
    <w:rsid w:val="00875816"/>
    <w:rsid w:val="00875CC2"/>
    <w:rsid w:val="00881016"/>
    <w:rsid w:val="008829F5"/>
    <w:rsid w:val="008834CA"/>
    <w:rsid w:val="0088404E"/>
    <w:rsid w:val="0088527B"/>
    <w:rsid w:val="00885436"/>
    <w:rsid w:val="0088572C"/>
    <w:rsid w:val="00887975"/>
    <w:rsid w:val="008879F8"/>
    <w:rsid w:val="00891C6E"/>
    <w:rsid w:val="00893857"/>
    <w:rsid w:val="0089430F"/>
    <w:rsid w:val="00894881"/>
    <w:rsid w:val="00897380"/>
    <w:rsid w:val="008A0869"/>
    <w:rsid w:val="008A15E5"/>
    <w:rsid w:val="008A1CB6"/>
    <w:rsid w:val="008A2A8B"/>
    <w:rsid w:val="008A469D"/>
    <w:rsid w:val="008A67DF"/>
    <w:rsid w:val="008A6A2E"/>
    <w:rsid w:val="008A6DB3"/>
    <w:rsid w:val="008B052B"/>
    <w:rsid w:val="008B12CD"/>
    <w:rsid w:val="008B171B"/>
    <w:rsid w:val="008B2C02"/>
    <w:rsid w:val="008B354D"/>
    <w:rsid w:val="008B4F25"/>
    <w:rsid w:val="008B6914"/>
    <w:rsid w:val="008B7377"/>
    <w:rsid w:val="008B7DBA"/>
    <w:rsid w:val="008C074F"/>
    <w:rsid w:val="008C22BC"/>
    <w:rsid w:val="008C36AC"/>
    <w:rsid w:val="008C3A9C"/>
    <w:rsid w:val="008C430A"/>
    <w:rsid w:val="008C59B1"/>
    <w:rsid w:val="008C5AA7"/>
    <w:rsid w:val="008C6200"/>
    <w:rsid w:val="008C726C"/>
    <w:rsid w:val="008D05C9"/>
    <w:rsid w:val="008D1072"/>
    <w:rsid w:val="008D112E"/>
    <w:rsid w:val="008D16D1"/>
    <w:rsid w:val="008D17C0"/>
    <w:rsid w:val="008D2F9D"/>
    <w:rsid w:val="008D32EC"/>
    <w:rsid w:val="008D35EF"/>
    <w:rsid w:val="008D48BF"/>
    <w:rsid w:val="008D58DF"/>
    <w:rsid w:val="008D5E39"/>
    <w:rsid w:val="008E16FF"/>
    <w:rsid w:val="008E21AC"/>
    <w:rsid w:val="008E250A"/>
    <w:rsid w:val="008E353B"/>
    <w:rsid w:val="008E7D06"/>
    <w:rsid w:val="008F0427"/>
    <w:rsid w:val="008F0B08"/>
    <w:rsid w:val="008F0CF1"/>
    <w:rsid w:val="008F1827"/>
    <w:rsid w:val="008F32D9"/>
    <w:rsid w:val="008F35CF"/>
    <w:rsid w:val="008F4F2E"/>
    <w:rsid w:val="008F5228"/>
    <w:rsid w:val="008F55BE"/>
    <w:rsid w:val="008F5944"/>
    <w:rsid w:val="008F677A"/>
    <w:rsid w:val="008F6BC4"/>
    <w:rsid w:val="008F6E08"/>
    <w:rsid w:val="008F7801"/>
    <w:rsid w:val="008F7A30"/>
    <w:rsid w:val="00900F38"/>
    <w:rsid w:val="009016FF"/>
    <w:rsid w:val="0090270A"/>
    <w:rsid w:val="0090517F"/>
    <w:rsid w:val="009051A9"/>
    <w:rsid w:val="00905F96"/>
    <w:rsid w:val="009066D3"/>
    <w:rsid w:val="00907E0E"/>
    <w:rsid w:val="00907E8A"/>
    <w:rsid w:val="00910199"/>
    <w:rsid w:val="009102D6"/>
    <w:rsid w:val="00910A3F"/>
    <w:rsid w:val="00910C41"/>
    <w:rsid w:val="00910C7F"/>
    <w:rsid w:val="00911843"/>
    <w:rsid w:val="0091232C"/>
    <w:rsid w:val="00912A64"/>
    <w:rsid w:val="00914619"/>
    <w:rsid w:val="0091475E"/>
    <w:rsid w:val="00916415"/>
    <w:rsid w:val="00916D77"/>
    <w:rsid w:val="00921E97"/>
    <w:rsid w:val="00923EB5"/>
    <w:rsid w:val="00924037"/>
    <w:rsid w:val="00924D6F"/>
    <w:rsid w:val="00925181"/>
    <w:rsid w:val="00925485"/>
    <w:rsid w:val="00925CE1"/>
    <w:rsid w:val="00927546"/>
    <w:rsid w:val="00934241"/>
    <w:rsid w:val="0093455F"/>
    <w:rsid w:val="00936A2B"/>
    <w:rsid w:val="0094052A"/>
    <w:rsid w:val="0094055E"/>
    <w:rsid w:val="009412C3"/>
    <w:rsid w:val="009423E5"/>
    <w:rsid w:val="00942A91"/>
    <w:rsid w:val="009432C0"/>
    <w:rsid w:val="0094510F"/>
    <w:rsid w:val="00945C5A"/>
    <w:rsid w:val="00950299"/>
    <w:rsid w:val="009510AA"/>
    <w:rsid w:val="00955434"/>
    <w:rsid w:val="00955B51"/>
    <w:rsid w:val="0095680D"/>
    <w:rsid w:val="00956F6A"/>
    <w:rsid w:val="009575CA"/>
    <w:rsid w:val="009618DE"/>
    <w:rsid w:val="00961994"/>
    <w:rsid w:val="00961C1B"/>
    <w:rsid w:val="009649EA"/>
    <w:rsid w:val="0096509A"/>
    <w:rsid w:val="009663EF"/>
    <w:rsid w:val="0097077D"/>
    <w:rsid w:val="009710F7"/>
    <w:rsid w:val="009738F3"/>
    <w:rsid w:val="0097436F"/>
    <w:rsid w:val="00974DBA"/>
    <w:rsid w:val="00975140"/>
    <w:rsid w:val="0097594B"/>
    <w:rsid w:val="00976D9B"/>
    <w:rsid w:val="00981243"/>
    <w:rsid w:val="00983719"/>
    <w:rsid w:val="00983AFA"/>
    <w:rsid w:val="00984828"/>
    <w:rsid w:val="009859FA"/>
    <w:rsid w:val="00985D1E"/>
    <w:rsid w:val="0099195B"/>
    <w:rsid w:val="00992E43"/>
    <w:rsid w:val="00994B71"/>
    <w:rsid w:val="00994D69"/>
    <w:rsid w:val="00996914"/>
    <w:rsid w:val="00996953"/>
    <w:rsid w:val="009A2ED1"/>
    <w:rsid w:val="009A3EFC"/>
    <w:rsid w:val="009A4F04"/>
    <w:rsid w:val="009A6277"/>
    <w:rsid w:val="009A6AA5"/>
    <w:rsid w:val="009A6F9A"/>
    <w:rsid w:val="009A7DA8"/>
    <w:rsid w:val="009B0599"/>
    <w:rsid w:val="009B1E83"/>
    <w:rsid w:val="009B245A"/>
    <w:rsid w:val="009B2FAE"/>
    <w:rsid w:val="009B423F"/>
    <w:rsid w:val="009B4A52"/>
    <w:rsid w:val="009B4D2B"/>
    <w:rsid w:val="009B4D4A"/>
    <w:rsid w:val="009B61AD"/>
    <w:rsid w:val="009B69DF"/>
    <w:rsid w:val="009B787B"/>
    <w:rsid w:val="009B7CC7"/>
    <w:rsid w:val="009C04FC"/>
    <w:rsid w:val="009C051D"/>
    <w:rsid w:val="009C05EC"/>
    <w:rsid w:val="009C10A4"/>
    <w:rsid w:val="009C320A"/>
    <w:rsid w:val="009C5FC0"/>
    <w:rsid w:val="009C6871"/>
    <w:rsid w:val="009C6B17"/>
    <w:rsid w:val="009C6B94"/>
    <w:rsid w:val="009C7BB1"/>
    <w:rsid w:val="009D18CC"/>
    <w:rsid w:val="009D1E3E"/>
    <w:rsid w:val="009D24F3"/>
    <w:rsid w:val="009D2CD3"/>
    <w:rsid w:val="009D350B"/>
    <w:rsid w:val="009D3F89"/>
    <w:rsid w:val="009D492D"/>
    <w:rsid w:val="009D55F9"/>
    <w:rsid w:val="009D5807"/>
    <w:rsid w:val="009D61F3"/>
    <w:rsid w:val="009E0328"/>
    <w:rsid w:val="009E047D"/>
    <w:rsid w:val="009E1069"/>
    <w:rsid w:val="009E1557"/>
    <w:rsid w:val="009E32D4"/>
    <w:rsid w:val="009E4734"/>
    <w:rsid w:val="009E6099"/>
    <w:rsid w:val="009E654F"/>
    <w:rsid w:val="009E6FC0"/>
    <w:rsid w:val="009E759A"/>
    <w:rsid w:val="009F0CE2"/>
    <w:rsid w:val="009F16B2"/>
    <w:rsid w:val="009F3C8B"/>
    <w:rsid w:val="009F4731"/>
    <w:rsid w:val="009F4ADD"/>
    <w:rsid w:val="009F5DDF"/>
    <w:rsid w:val="009F6212"/>
    <w:rsid w:val="00A000EB"/>
    <w:rsid w:val="00A00B0D"/>
    <w:rsid w:val="00A01B66"/>
    <w:rsid w:val="00A02D52"/>
    <w:rsid w:val="00A03609"/>
    <w:rsid w:val="00A03CF3"/>
    <w:rsid w:val="00A04BAE"/>
    <w:rsid w:val="00A05C4B"/>
    <w:rsid w:val="00A07682"/>
    <w:rsid w:val="00A10CF0"/>
    <w:rsid w:val="00A10F26"/>
    <w:rsid w:val="00A11387"/>
    <w:rsid w:val="00A12102"/>
    <w:rsid w:val="00A127AE"/>
    <w:rsid w:val="00A12C53"/>
    <w:rsid w:val="00A14864"/>
    <w:rsid w:val="00A1512D"/>
    <w:rsid w:val="00A25809"/>
    <w:rsid w:val="00A25B69"/>
    <w:rsid w:val="00A25BF2"/>
    <w:rsid w:val="00A26FCC"/>
    <w:rsid w:val="00A30F95"/>
    <w:rsid w:val="00A3158F"/>
    <w:rsid w:val="00A315FB"/>
    <w:rsid w:val="00A32CE7"/>
    <w:rsid w:val="00A339CB"/>
    <w:rsid w:val="00A34220"/>
    <w:rsid w:val="00A34282"/>
    <w:rsid w:val="00A351D9"/>
    <w:rsid w:val="00A3588B"/>
    <w:rsid w:val="00A361FF"/>
    <w:rsid w:val="00A37D15"/>
    <w:rsid w:val="00A41B5E"/>
    <w:rsid w:val="00A42A4A"/>
    <w:rsid w:val="00A42B9C"/>
    <w:rsid w:val="00A433CA"/>
    <w:rsid w:val="00A4499F"/>
    <w:rsid w:val="00A44FAF"/>
    <w:rsid w:val="00A456CF"/>
    <w:rsid w:val="00A46F2D"/>
    <w:rsid w:val="00A4708D"/>
    <w:rsid w:val="00A50D30"/>
    <w:rsid w:val="00A5190B"/>
    <w:rsid w:val="00A51B02"/>
    <w:rsid w:val="00A53006"/>
    <w:rsid w:val="00A53C8F"/>
    <w:rsid w:val="00A55505"/>
    <w:rsid w:val="00A6026D"/>
    <w:rsid w:val="00A60296"/>
    <w:rsid w:val="00A6111B"/>
    <w:rsid w:val="00A6130F"/>
    <w:rsid w:val="00A61EAD"/>
    <w:rsid w:val="00A62415"/>
    <w:rsid w:val="00A62651"/>
    <w:rsid w:val="00A6372A"/>
    <w:rsid w:val="00A6474E"/>
    <w:rsid w:val="00A6705C"/>
    <w:rsid w:val="00A678A1"/>
    <w:rsid w:val="00A67ADA"/>
    <w:rsid w:val="00A7007B"/>
    <w:rsid w:val="00A70A1B"/>
    <w:rsid w:val="00A70CA0"/>
    <w:rsid w:val="00A72B80"/>
    <w:rsid w:val="00A72F71"/>
    <w:rsid w:val="00A72FDB"/>
    <w:rsid w:val="00A735A7"/>
    <w:rsid w:val="00A73D7A"/>
    <w:rsid w:val="00A77992"/>
    <w:rsid w:val="00A81303"/>
    <w:rsid w:val="00A81405"/>
    <w:rsid w:val="00A81DEE"/>
    <w:rsid w:val="00A825E7"/>
    <w:rsid w:val="00A83064"/>
    <w:rsid w:val="00A843E8"/>
    <w:rsid w:val="00A84BBB"/>
    <w:rsid w:val="00A850A6"/>
    <w:rsid w:val="00A85D49"/>
    <w:rsid w:val="00A85DF3"/>
    <w:rsid w:val="00A85F61"/>
    <w:rsid w:val="00A8710D"/>
    <w:rsid w:val="00A871F5"/>
    <w:rsid w:val="00A906DA"/>
    <w:rsid w:val="00A92045"/>
    <w:rsid w:val="00A93FC6"/>
    <w:rsid w:val="00A950E0"/>
    <w:rsid w:val="00A9575B"/>
    <w:rsid w:val="00A95FE7"/>
    <w:rsid w:val="00A962D3"/>
    <w:rsid w:val="00A9797E"/>
    <w:rsid w:val="00AA2B21"/>
    <w:rsid w:val="00AA3A1D"/>
    <w:rsid w:val="00AA4019"/>
    <w:rsid w:val="00AA4E9B"/>
    <w:rsid w:val="00AA53C7"/>
    <w:rsid w:val="00AA5B88"/>
    <w:rsid w:val="00AA77E2"/>
    <w:rsid w:val="00AB0662"/>
    <w:rsid w:val="00AB0793"/>
    <w:rsid w:val="00AB0A1D"/>
    <w:rsid w:val="00AB4E2D"/>
    <w:rsid w:val="00AB50D5"/>
    <w:rsid w:val="00AB5273"/>
    <w:rsid w:val="00AB5CF9"/>
    <w:rsid w:val="00AB637C"/>
    <w:rsid w:val="00AC205A"/>
    <w:rsid w:val="00AC43E1"/>
    <w:rsid w:val="00AC44D2"/>
    <w:rsid w:val="00AC47B3"/>
    <w:rsid w:val="00AC4CB4"/>
    <w:rsid w:val="00AC5968"/>
    <w:rsid w:val="00AC5FD3"/>
    <w:rsid w:val="00AC6529"/>
    <w:rsid w:val="00AC66F5"/>
    <w:rsid w:val="00AC6D9A"/>
    <w:rsid w:val="00AC74AD"/>
    <w:rsid w:val="00AC798D"/>
    <w:rsid w:val="00AD0600"/>
    <w:rsid w:val="00AD2211"/>
    <w:rsid w:val="00AD2FCC"/>
    <w:rsid w:val="00AD4807"/>
    <w:rsid w:val="00AD51F3"/>
    <w:rsid w:val="00AD6652"/>
    <w:rsid w:val="00AD7B7B"/>
    <w:rsid w:val="00AE08FC"/>
    <w:rsid w:val="00AE11A6"/>
    <w:rsid w:val="00AE3976"/>
    <w:rsid w:val="00AE39A3"/>
    <w:rsid w:val="00AE3F3E"/>
    <w:rsid w:val="00AE499E"/>
    <w:rsid w:val="00AE4E10"/>
    <w:rsid w:val="00AE678F"/>
    <w:rsid w:val="00AE7323"/>
    <w:rsid w:val="00AF008C"/>
    <w:rsid w:val="00AF1280"/>
    <w:rsid w:val="00AF2058"/>
    <w:rsid w:val="00AF236A"/>
    <w:rsid w:val="00AF276D"/>
    <w:rsid w:val="00AF467A"/>
    <w:rsid w:val="00AF4ED9"/>
    <w:rsid w:val="00AF559B"/>
    <w:rsid w:val="00AF7433"/>
    <w:rsid w:val="00B005B4"/>
    <w:rsid w:val="00B00627"/>
    <w:rsid w:val="00B00B68"/>
    <w:rsid w:val="00B016D8"/>
    <w:rsid w:val="00B01FFA"/>
    <w:rsid w:val="00B02151"/>
    <w:rsid w:val="00B028B4"/>
    <w:rsid w:val="00B02BA3"/>
    <w:rsid w:val="00B047C3"/>
    <w:rsid w:val="00B059D5"/>
    <w:rsid w:val="00B06018"/>
    <w:rsid w:val="00B060AF"/>
    <w:rsid w:val="00B061A1"/>
    <w:rsid w:val="00B068A6"/>
    <w:rsid w:val="00B0696A"/>
    <w:rsid w:val="00B07D38"/>
    <w:rsid w:val="00B103A6"/>
    <w:rsid w:val="00B10C3D"/>
    <w:rsid w:val="00B110F4"/>
    <w:rsid w:val="00B12E5C"/>
    <w:rsid w:val="00B13933"/>
    <w:rsid w:val="00B13FE2"/>
    <w:rsid w:val="00B14BFB"/>
    <w:rsid w:val="00B14EEF"/>
    <w:rsid w:val="00B15979"/>
    <w:rsid w:val="00B16CAD"/>
    <w:rsid w:val="00B17A12"/>
    <w:rsid w:val="00B2091B"/>
    <w:rsid w:val="00B24D06"/>
    <w:rsid w:val="00B250E8"/>
    <w:rsid w:val="00B2580B"/>
    <w:rsid w:val="00B27069"/>
    <w:rsid w:val="00B270B5"/>
    <w:rsid w:val="00B3042C"/>
    <w:rsid w:val="00B31534"/>
    <w:rsid w:val="00B33EAC"/>
    <w:rsid w:val="00B3481F"/>
    <w:rsid w:val="00B34D33"/>
    <w:rsid w:val="00B35F8E"/>
    <w:rsid w:val="00B36122"/>
    <w:rsid w:val="00B36E1C"/>
    <w:rsid w:val="00B40885"/>
    <w:rsid w:val="00B40A5A"/>
    <w:rsid w:val="00B416AF"/>
    <w:rsid w:val="00B42376"/>
    <w:rsid w:val="00B42569"/>
    <w:rsid w:val="00B43A36"/>
    <w:rsid w:val="00B441CE"/>
    <w:rsid w:val="00B44401"/>
    <w:rsid w:val="00B446CC"/>
    <w:rsid w:val="00B44D79"/>
    <w:rsid w:val="00B453CE"/>
    <w:rsid w:val="00B45D40"/>
    <w:rsid w:val="00B45DBD"/>
    <w:rsid w:val="00B460DF"/>
    <w:rsid w:val="00B50899"/>
    <w:rsid w:val="00B52E6C"/>
    <w:rsid w:val="00B535BE"/>
    <w:rsid w:val="00B5390E"/>
    <w:rsid w:val="00B542D1"/>
    <w:rsid w:val="00B54583"/>
    <w:rsid w:val="00B57965"/>
    <w:rsid w:val="00B579E2"/>
    <w:rsid w:val="00B60396"/>
    <w:rsid w:val="00B61F2F"/>
    <w:rsid w:val="00B637E6"/>
    <w:rsid w:val="00B63F15"/>
    <w:rsid w:val="00B66A92"/>
    <w:rsid w:val="00B67D88"/>
    <w:rsid w:val="00B70900"/>
    <w:rsid w:val="00B71A25"/>
    <w:rsid w:val="00B72049"/>
    <w:rsid w:val="00B727E6"/>
    <w:rsid w:val="00B72AE9"/>
    <w:rsid w:val="00B74B49"/>
    <w:rsid w:val="00B74B94"/>
    <w:rsid w:val="00B760C5"/>
    <w:rsid w:val="00B76755"/>
    <w:rsid w:val="00B80E7B"/>
    <w:rsid w:val="00B811CA"/>
    <w:rsid w:val="00B822EA"/>
    <w:rsid w:val="00B839E0"/>
    <w:rsid w:val="00B844A5"/>
    <w:rsid w:val="00B84A91"/>
    <w:rsid w:val="00B84DF1"/>
    <w:rsid w:val="00B85EDD"/>
    <w:rsid w:val="00B872CC"/>
    <w:rsid w:val="00B87B99"/>
    <w:rsid w:val="00B906FE"/>
    <w:rsid w:val="00B9085A"/>
    <w:rsid w:val="00B90A9E"/>
    <w:rsid w:val="00B91106"/>
    <w:rsid w:val="00B93410"/>
    <w:rsid w:val="00B94381"/>
    <w:rsid w:val="00B951DD"/>
    <w:rsid w:val="00B9601A"/>
    <w:rsid w:val="00BA0856"/>
    <w:rsid w:val="00BA0B6A"/>
    <w:rsid w:val="00BA2326"/>
    <w:rsid w:val="00BA3059"/>
    <w:rsid w:val="00BA3300"/>
    <w:rsid w:val="00BA525F"/>
    <w:rsid w:val="00BA7131"/>
    <w:rsid w:val="00BB057D"/>
    <w:rsid w:val="00BB06D9"/>
    <w:rsid w:val="00BB4040"/>
    <w:rsid w:val="00BB55BC"/>
    <w:rsid w:val="00BB55EF"/>
    <w:rsid w:val="00BB5F69"/>
    <w:rsid w:val="00BB6E9F"/>
    <w:rsid w:val="00BC10C2"/>
    <w:rsid w:val="00BC1D25"/>
    <w:rsid w:val="00BC233D"/>
    <w:rsid w:val="00BC34C4"/>
    <w:rsid w:val="00BC36A4"/>
    <w:rsid w:val="00BC37AF"/>
    <w:rsid w:val="00BC586C"/>
    <w:rsid w:val="00BC6693"/>
    <w:rsid w:val="00BC77CA"/>
    <w:rsid w:val="00BC79C8"/>
    <w:rsid w:val="00BC7F5B"/>
    <w:rsid w:val="00BC7F87"/>
    <w:rsid w:val="00BD01B9"/>
    <w:rsid w:val="00BD01E9"/>
    <w:rsid w:val="00BD0683"/>
    <w:rsid w:val="00BD09A5"/>
    <w:rsid w:val="00BD3FA4"/>
    <w:rsid w:val="00BD4AF0"/>
    <w:rsid w:val="00BD4F09"/>
    <w:rsid w:val="00BD50A9"/>
    <w:rsid w:val="00BD561F"/>
    <w:rsid w:val="00BD75B8"/>
    <w:rsid w:val="00BE0300"/>
    <w:rsid w:val="00BE1326"/>
    <w:rsid w:val="00BE2CB1"/>
    <w:rsid w:val="00BE3AF6"/>
    <w:rsid w:val="00BE3BB5"/>
    <w:rsid w:val="00BE41CE"/>
    <w:rsid w:val="00BE48D8"/>
    <w:rsid w:val="00BE51DB"/>
    <w:rsid w:val="00BF1D32"/>
    <w:rsid w:val="00BF2790"/>
    <w:rsid w:val="00BF2916"/>
    <w:rsid w:val="00BF2A59"/>
    <w:rsid w:val="00BF2BA0"/>
    <w:rsid w:val="00BF2F5D"/>
    <w:rsid w:val="00BF4A10"/>
    <w:rsid w:val="00BF6868"/>
    <w:rsid w:val="00BF7701"/>
    <w:rsid w:val="00BF776C"/>
    <w:rsid w:val="00C001C2"/>
    <w:rsid w:val="00C00316"/>
    <w:rsid w:val="00C00738"/>
    <w:rsid w:val="00C01B25"/>
    <w:rsid w:val="00C02533"/>
    <w:rsid w:val="00C02807"/>
    <w:rsid w:val="00C03EF9"/>
    <w:rsid w:val="00C04A83"/>
    <w:rsid w:val="00C0543F"/>
    <w:rsid w:val="00C07381"/>
    <w:rsid w:val="00C107EA"/>
    <w:rsid w:val="00C10DE9"/>
    <w:rsid w:val="00C11582"/>
    <w:rsid w:val="00C11C0A"/>
    <w:rsid w:val="00C12C1E"/>
    <w:rsid w:val="00C136F3"/>
    <w:rsid w:val="00C13A1D"/>
    <w:rsid w:val="00C16C18"/>
    <w:rsid w:val="00C16DA9"/>
    <w:rsid w:val="00C16EB9"/>
    <w:rsid w:val="00C1754C"/>
    <w:rsid w:val="00C17665"/>
    <w:rsid w:val="00C17FDA"/>
    <w:rsid w:val="00C2101B"/>
    <w:rsid w:val="00C21C70"/>
    <w:rsid w:val="00C242EC"/>
    <w:rsid w:val="00C25757"/>
    <w:rsid w:val="00C25EA2"/>
    <w:rsid w:val="00C27684"/>
    <w:rsid w:val="00C278CE"/>
    <w:rsid w:val="00C27EC5"/>
    <w:rsid w:val="00C31A2B"/>
    <w:rsid w:val="00C35412"/>
    <w:rsid w:val="00C3728A"/>
    <w:rsid w:val="00C40481"/>
    <w:rsid w:val="00C4092A"/>
    <w:rsid w:val="00C40A5D"/>
    <w:rsid w:val="00C40A60"/>
    <w:rsid w:val="00C433E0"/>
    <w:rsid w:val="00C43736"/>
    <w:rsid w:val="00C4395E"/>
    <w:rsid w:val="00C44791"/>
    <w:rsid w:val="00C447C7"/>
    <w:rsid w:val="00C44F17"/>
    <w:rsid w:val="00C46034"/>
    <w:rsid w:val="00C46289"/>
    <w:rsid w:val="00C472A7"/>
    <w:rsid w:val="00C47686"/>
    <w:rsid w:val="00C47704"/>
    <w:rsid w:val="00C47ACD"/>
    <w:rsid w:val="00C5122B"/>
    <w:rsid w:val="00C51A7C"/>
    <w:rsid w:val="00C52B82"/>
    <w:rsid w:val="00C530C8"/>
    <w:rsid w:val="00C531DC"/>
    <w:rsid w:val="00C56174"/>
    <w:rsid w:val="00C566EB"/>
    <w:rsid w:val="00C56C0D"/>
    <w:rsid w:val="00C57292"/>
    <w:rsid w:val="00C600EE"/>
    <w:rsid w:val="00C60A86"/>
    <w:rsid w:val="00C61042"/>
    <w:rsid w:val="00C615B4"/>
    <w:rsid w:val="00C61E00"/>
    <w:rsid w:val="00C62548"/>
    <w:rsid w:val="00C64591"/>
    <w:rsid w:val="00C65957"/>
    <w:rsid w:val="00C662CA"/>
    <w:rsid w:val="00C671C5"/>
    <w:rsid w:val="00C67D22"/>
    <w:rsid w:val="00C7028D"/>
    <w:rsid w:val="00C70690"/>
    <w:rsid w:val="00C718F9"/>
    <w:rsid w:val="00C71F2F"/>
    <w:rsid w:val="00C724C3"/>
    <w:rsid w:val="00C72B59"/>
    <w:rsid w:val="00C7327C"/>
    <w:rsid w:val="00C734B1"/>
    <w:rsid w:val="00C74C0F"/>
    <w:rsid w:val="00C75329"/>
    <w:rsid w:val="00C753A7"/>
    <w:rsid w:val="00C755CF"/>
    <w:rsid w:val="00C75658"/>
    <w:rsid w:val="00C7780E"/>
    <w:rsid w:val="00C80B4A"/>
    <w:rsid w:val="00C80CC5"/>
    <w:rsid w:val="00C82A84"/>
    <w:rsid w:val="00C82F35"/>
    <w:rsid w:val="00C834EF"/>
    <w:rsid w:val="00C83BF8"/>
    <w:rsid w:val="00C83C35"/>
    <w:rsid w:val="00C84A96"/>
    <w:rsid w:val="00C8692F"/>
    <w:rsid w:val="00C87E47"/>
    <w:rsid w:val="00C90A82"/>
    <w:rsid w:val="00C90A88"/>
    <w:rsid w:val="00C91FEC"/>
    <w:rsid w:val="00C92418"/>
    <w:rsid w:val="00C926E2"/>
    <w:rsid w:val="00C950B0"/>
    <w:rsid w:val="00C956E0"/>
    <w:rsid w:val="00C957FD"/>
    <w:rsid w:val="00C9684F"/>
    <w:rsid w:val="00C96907"/>
    <w:rsid w:val="00C96B98"/>
    <w:rsid w:val="00CA170C"/>
    <w:rsid w:val="00CA1B74"/>
    <w:rsid w:val="00CA2470"/>
    <w:rsid w:val="00CA4B9C"/>
    <w:rsid w:val="00CA678E"/>
    <w:rsid w:val="00CA6CAE"/>
    <w:rsid w:val="00CB2B84"/>
    <w:rsid w:val="00CB3FFC"/>
    <w:rsid w:val="00CB44D3"/>
    <w:rsid w:val="00CB6124"/>
    <w:rsid w:val="00CC02BE"/>
    <w:rsid w:val="00CC09C4"/>
    <w:rsid w:val="00CC1B90"/>
    <w:rsid w:val="00CC326A"/>
    <w:rsid w:val="00CC3DC6"/>
    <w:rsid w:val="00CC41B2"/>
    <w:rsid w:val="00CC4B6E"/>
    <w:rsid w:val="00CC504E"/>
    <w:rsid w:val="00CC7C84"/>
    <w:rsid w:val="00CD11D4"/>
    <w:rsid w:val="00CD23C4"/>
    <w:rsid w:val="00CD29B2"/>
    <w:rsid w:val="00CD2C0F"/>
    <w:rsid w:val="00CD3582"/>
    <w:rsid w:val="00CD3A27"/>
    <w:rsid w:val="00CD5190"/>
    <w:rsid w:val="00CD551E"/>
    <w:rsid w:val="00CD6916"/>
    <w:rsid w:val="00CD69B8"/>
    <w:rsid w:val="00CD6EE8"/>
    <w:rsid w:val="00CD721E"/>
    <w:rsid w:val="00CD7542"/>
    <w:rsid w:val="00CD79C7"/>
    <w:rsid w:val="00CD7CF7"/>
    <w:rsid w:val="00CE0B6D"/>
    <w:rsid w:val="00CE24ED"/>
    <w:rsid w:val="00CE37BA"/>
    <w:rsid w:val="00CE37C4"/>
    <w:rsid w:val="00CE5A5A"/>
    <w:rsid w:val="00CE7B1A"/>
    <w:rsid w:val="00CF08D8"/>
    <w:rsid w:val="00CF1AB5"/>
    <w:rsid w:val="00CF28FF"/>
    <w:rsid w:val="00CF32F1"/>
    <w:rsid w:val="00CF3FD1"/>
    <w:rsid w:val="00CF45C4"/>
    <w:rsid w:val="00CF712F"/>
    <w:rsid w:val="00D01961"/>
    <w:rsid w:val="00D025BC"/>
    <w:rsid w:val="00D02871"/>
    <w:rsid w:val="00D0321F"/>
    <w:rsid w:val="00D05263"/>
    <w:rsid w:val="00D0583C"/>
    <w:rsid w:val="00D06927"/>
    <w:rsid w:val="00D06A77"/>
    <w:rsid w:val="00D072E0"/>
    <w:rsid w:val="00D07A22"/>
    <w:rsid w:val="00D10696"/>
    <w:rsid w:val="00D110B5"/>
    <w:rsid w:val="00D110DE"/>
    <w:rsid w:val="00D136B0"/>
    <w:rsid w:val="00D13ED5"/>
    <w:rsid w:val="00D142E8"/>
    <w:rsid w:val="00D15BED"/>
    <w:rsid w:val="00D16B5F"/>
    <w:rsid w:val="00D20577"/>
    <w:rsid w:val="00D20A6D"/>
    <w:rsid w:val="00D214D1"/>
    <w:rsid w:val="00D2155A"/>
    <w:rsid w:val="00D22813"/>
    <w:rsid w:val="00D249A4"/>
    <w:rsid w:val="00D25253"/>
    <w:rsid w:val="00D26BC5"/>
    <w:rsid w:val="00D27193"/>
    <w:rsid w:val="00D27551"/>
    <w:rsid w:val="00D27D7B"/>
    <w:rsid w:val="00D300AB"/>
    <w:rsid w:val="00D307BF"/>
    <w:rsid w:val="00D31420"/>
    <w:rsid w:val="00D3167B"/>
    <w:rsid w:val="00D33D24"/>
    <w:rsid w:val="00D34B3E"/>
    <w:rsid w:val="00D35051"/>
    <w:rsid w:val="00D3655A"/>
    <w:rsid w:val="00D379AE"/>
    <w:rsid w:val="00D40AC7"/>
    <w:rsid w:val="00D410F8"/>
    <w:rsid w:val="00D41BD5"/>
    <w:rsid w:val="00D426E6"/>
    <w:rsid w:val="00D42AF2"/>
    <w:rsid w:val="00D44194"/>
    <w:rsid w:val="00D466BB"/>
    <w:rsid w:val="00D4672B"/>
    <w:rsid w:val="00D47AD0"/>
    <w:rsid w:val="00D5044E"/>
    <w:rsid w:val="00D50B40"/>
    <w:rsid w:val="00D50F04"/>
    <w:rsid w:val="00D50F93"/>
    <w:rsid w:val="00D51D9E"/>
    <w:rsid w:val="00D534E2"/>
    <w:rsid w:val="00D53F18"/>
    <w:rsid w:val="00D54180"/>
    <w:rsid w:val="00D55B65"/>
    <w:rsid w:val="00D571FF"/>
    <w:rsid w:val="00D572D7"/>
    <w:rsid w:val="00D57A5F"/>
    <w:rsid w:val="00D6194E"/>
    <w:rsid w:val="00D61E5A"/>
    <w:rsid w:val="00D63F66"/>
    <w:rsid w:val="00D64AD7"/>
    <w:rsid w:val="00D650D6"/>
    <w:rsid w:val="00D654FE"/>
    <w:rsid w:val="00D6597B"/>
    <w:rsid w:val="00D66059"/>
    <w:rsid w:val="00D6615C"/>
    <w:rsid w:val="00D661AF"/>
    <w:rsid w:val="00D6677C"/>
    <w:rsid w:val="00D66800"/>
    <w:rsid w:val="00D66CF2"/>
    <w:rsid w:val="00D709F9"/>
    <w:rsid w:val="00D718CA"/>
    <w:rsid w:val="00D724C5"/>
    <w:rsid w:val="00D741B1"/>
    <w:rsid w:val="00D7494C"/>
    <w:rsid w:val="00D818EC"/>
    <w:rsid w:val="00D8190B"/>
    <w:rsid w:val="00D82509"/>
    <w:rsid w:val="00D8340E"/>
    <w:rsid w:val="00D83642"/>
    <w:rsid w:val="00D84D6B"/>
    <w:rsid w:val="00D868D2"/>
    <w:rsid w:val="00D87DC8"/>
    <w:rsid w:val="00D90287"/>
    <w:rsid w:val="00D9192F"/>
    <w:rsid w:val="00D93158"/>
    <w:rsid w:val="00D93477"/>
    <w:rsid w:val="00D9351C"/>
    <w:rsid w:val="00D9383C"/>
    <w:rsid w:val="00D93B68"/>
    <w:rsid w:val="00D93C8B"/>
    <w:rsid w:val="00D94D5F"/>
    <w:rsid w:val="00D96E34"/>
    <w:rsid w:val="00D976C5"/>
    <w:rsid w:val="00D9790A"/>
    <w:rsid w:val="00DA1D85"/>
    <w:rsid w:val="00DA28E2"/>
    <w:rsid w:val="00DA470E"/>
    <w:rsid w:val="00DA4B23"/>
    <w:rsid w:val="00DA51F1"/>
    <w:rsid w:val="00DA6746"/>
    <w:rsid w:val="00DA6BA9"/>
    <w:rsid w:val="00DA71C9"/>
    <w:rsid w:val="00DB11A0"/>
    <w:rsid w:val="00DB1918"/>
    <w:rsid w:val="00DB20AE"/>
    <w:rsid w:val="00DB23A5"/>
    <w:rsid w:val="00DB299D"/>
    <w:rsid w:val="00DB319F"/>
    <w:rsid w:val="00DB558C"/>
    <w:rsid w:val="00DB67DF"/>
    <w:rsid w:val="00DC0485"/>
    <w:rsid w:val="00DC0F82"/>
    <w:rsid w:val="00DC1A4E"/>
    <w:rsid w:val="00DC2584"/>
    <w:rsid w:val="00DC38B3"/>
    <w:rsid w:val="00DC6128"/>
    <w:rsid w:val="00DC6400"/>
    <w:rsid w:val="00DC74BE"/>
    <w:rsid w:val="00DC74F4"/>
    <w:rsid w:val="00DC7B32"/>
    <w:rsid w:val="00DD0325"/>
    <w:rsid w:val="00DD1066"/>
    <w:rsid w:val="00DD1170"/>
    <w:rsid w:val="00DD1572"/>
    <w:rsid w:val="00DD2196"/>
    <w:rsid w:val="00DD2355"/>
    <w:rsid w:val="00DD246A"/>
    <w:rsid w:val="00DD355B"/>
    <w:rsid w:val="00DD35EE"/>
    <w:rsid w:val="00DD52EB"/>
    <w:rsid w:val="00DD5A99"/>
    <w:rsid w:val="00DD6B3A"/>
    <w:rsid w:val="00DD76BD"/>
    <w:rsid w:val="00DD7B3C"/>
    <w:rsid w:val="00DE0ECD"/>
    <w:rsid w:val="00DE1E5B"/>
    <w:rsid w:val="00DE264C"/>
    <w:rsid w:val="00DE274C"/>
    <w:rsid w:val="00DE36F8"/>
    <w:rsid w:val="00DE43FF"/>
    <w:rsid w:val="00DE5FB5"/>
    <w:rsid w:val="00DE76B5"/>
    <w:rsid w:val="00DF08E5"/>
    <w:rsid w:val="00DF1E6C"/>
    <w:rsid w:val="00DF2581"/>
    <w:rsid w:val="00DF3F85"/>
    <w:rsid w:val="00DF4A32"/>
    <w:rsid w:val="00DF4F3F"/>
    <w:rsid w:val="00DF648C"/>
    <w:rsid w:val="00DF74B9"/>
    <w:rsid w:val="00DF7CA6"/>
    <w:rsid w:val="00E007C4"/>
    <w:rsid w:val="00E020D1"/>
    <w:rsid w:val="00E03C6E"/>
    <w:rsid w:val="00E04762"/>
    <w:rsid w:val="00E07E27"/>
    <w:rsid w:val="00E11001"/>
    <w:rsid w:val="00E11622"/>
    <w:rsid w:val="00E12245"/>
    <w:rsid w:val="00E12454"/>
    <w:rsid w:val="00E125BE"/>
    <w:rsid w:val="00E12D4E"/>
    <w:rsid w:val="00E13FEF"/>
    <w:rsid w:val="00E14161"/>
    <w:rsid w:val="00E1455A"/>
    <w:rsid w:val="00E14CF2"/>
    <w:rsid w:val="00E17918"/>
    <w:rsid w:val="00E17E71"/>
    <w:rsid w:val="00E2016B"/>
    <w:rsid w:val="00E20187"/>
    <w:rsid w:val="00E205C7"/>
    <w:rsid w:val="00E208B6"/>
    <w:rsid w:val="00E21958"/>
    <w:rsid w:val="00E220F4"/>
    <w:rsid w:val="00E225E1"/>
    <w:rsid w:val="00E232DC"/>
    <w:rsid w:val="00E245D9"/>
    <w:rsid w:val="00E2686C"/>
    <w:rsid w:val="00E273B1"/>
    <w:rsid w:val="00E27508"/>
    <w:rsid w:val="00E27803"/>
    <w:rsid w:val="00E27B02"/>
    <w:rsid w:val="00E27ED4"/>
    <w:rsid w:val="00E30C95"/>
    <w:rsid w:val="00E319B6"/>
    <w:rsid w:val="00E3216D"/>
    <w:rsid w:val="00E32F17"/>
    <w:rsid w:val="00E333D7"/>
    <w:rsid w:val="00E336E9"/>
    <w:rsid w:val="00E33EBB"/>
    <w:rsid w:val="00E345D8"/>
    <w:rsid w:val="00E356F4"/>
    <w:rsid w:val="00E36F12"/>
    <w:rsid w:val="00E37EE3"/>
    <w:rsid w:val="00E42167"/>
    <w:rsid w:val="00E423C6"/>
    <w:rsid w:val="00E42410"/>
    <w:rsid w:val="00E42854"/>
    <w:rsid w:val="00E42D09"/>
    <w:rsid w:val="00E430EE"/>
    <w:rsid w:val="00E44ECA"/>
    <w:rsid w:val="00E467BC"/>
    <w:rsid w:val="00E470B0"/>
    <w:rsid w:val="00E507E5"/>
    <w:rsid w:val="00E50D5D"/>
    <w:rsid w:val="00E51D0D"/>
    <w:rsid w:val="00E52016"/>
    <w:rsid w:val="00E5337B"/>
    <w:rsid w:val="00E53381"/>
    <w:rsid w:val="00E543A2"/>
    <w:rsid w:val="00E551B4"/>
    <w:rsid w:val="00E552DE"/>
    <w:rsid w:val="00E56275"/>
    <w:rsid w:val="00E569E2"/>
    <w:rsid w:val="00E56E00"/>
    <w:rsid w:val="00E57047"/>
    <w:rsid w:val="00E62AF2"/>
    <w:rsid w:val="00E6317E"/>
    <w:rsid w:val="00E631F7"/>
    <w:rsid w:val="00E63603"/>
    <w:rsid w:val="00E643BB"/>
    <w:rsid w:val="00E64867"/>
    <w:rsid w:val="00E64F5C"/>
    <w:rsid w:val="00E66D30"/>
    <w:rsid w:val="00E67E3B"/>
    <w:rsid w:val="00E71A95"/>
    <w:rsid w:val="00E723C0"/>
    <w:rsid w:val="00E745A3"/>
    <w:rsid w:val="00E74707"/>
    <w:rsid w:val="00E75AB0"/>
    <w:rsid w:val="00E75BB1"/>
    <w:rsid w:val="00E80311"/>
    <w:rsid w:val="00E81ADB"/>
    <w:rsid w:val="00E83AB7"/>
    <w:rsid w:val="00E83B9D"/>
    <w:rsid w:val="00E860A4"/>
    <w:rsid w:val="00E87D62"/>
    <w:rsid w:val="00E90151"/>
    <w:rsid w:val="00E91046"/>
    <w:rsid w:val="00E91145"/>
    <w:rsid w:val="00E92DAF"/>
    <w:rsid w:val="00E95237"/>
    <w:rsid w:val="00E969A2"/>
    <w:rsid w:val="00E96FF8"/>
    <w:rsid w:val="00E97AF4"/>
    <w:rsid w:val="00EA1B68"/>
    <w:rsid w:val="00EA3C3A"/>
    <w:rsid w:val="00EA4154"/>
    <w:rsid w:val="00EA5E68"/>
    <w:rsid w:val="00EA6A51"/>
    <w:rsid w:val="00EA7225"/>
    <w:rsid w:val="00EA75AE"/>
    <w:rsid w:val="00EB0305"/>
    <w:rsid w:val="00EB0D33"/>
    <w:rsid w:val="00EB227F"/>
    <w:rsid w:val="00EB26CA"/>
    <w:rsid w:val="00EB26F1"/>
    <w:rsid w:val="00EB433C"/>
    <w:rsid w:val="00EB4E64"/>
    <w:rsid w:val="00EB614E"/>
    <w:rsid w:val="00EB6265"/>
    <w:rsid w:val="00EB6359"/>
    <w:rsid w:val="00EB6964"/>
    <w:rsid w:val="00EB7232"/>
    <w:rsid w:val="00EC011E"/>
    <w:rsid w:val="00EC0FCA"/>
    <w:rsid w:val="00EC25DB"/>
    <w:rsid w:val="00EC290F"/>
    <w:rsid w:val="00EC3F36"/>
    <w:rsid w:val="00EC404B"/>
    <w:rsid w:val="00EC47F4"/>
    <w:rsid w:val="00EC4D8F"/>
    <w:rsid w:val="00EC5645"/>
    <w:rsid w:val="00EC5A3E"/>
    <w:rsid w:val="00EC604D"/>
    <w:rsid w:val="00ED0A6F"/>
    <w:rsid w:val="00ED260D"/>
    <w:rsid w:val="00ED339B"/>
    <w:rsid w:val="00ED3572"/>
    <w:rsid w:val="00ED50D8"/>
    <w:rsid w:val="00ED535E"/>
    <w:rsid w:val="00ED7353"/>
    <w:rsid w:val="00EE01BB"/>
    <w:rsid w:val="00EE0B3A"/>
    <w:rsid w:val="00EE1282"/>
    <w:rsid w:val="00EE1D83"/>
    <w:rsid w:val="00EE1F5B"/>
    <w:rsid w:val="00EE201E"/>
    <w:rsid w:val="00EE2679"/>
    <w:rsid w:val="00EE2DE0"/>
    <w:rsid w:val="00EE4266"/>
    <w:rsid w:val="00EE5B1D"/>
    <w:rsid w:val="00EE5B5E"/>
    <w:rsid w:val="00EE5C10"/>
    <w:rsid w:val="00EE6121"/>
    <w:rsid w:val="00EE6C12"/>
    <w:rsid w:val="00EE6EB6"/>
    <w:rsid w:val="00EF0490"/>
    <w:rsid w:val="00EF0E7E"/>
    <w:rsid w:val="00EF0F74"/>
    <w:rsid w:val="00EF19A7"/>
    <w:rsid w:val="00EF1B7F"/>
    <w:rsid w:val="00EF1EF5"/>
    <w:rsid w:val="00EF541A"/>
    <w:rsid w:val="00EF5567"/>
    <w:rsid w:val="00EF5AF7"/>
    <w:rsid w:val="00EF64E5"/>
    <w:rsid w:val="00EF6C6A"/>
    <w:rsid w:val="00F01BE7"/>
    <w:rsid w:val="00F02AA1"/>
    <w:rsid w:val="00F036A3"/>
    <w:rsid w:val="00F03EFA"/>
    <w:rsid w:val="00F03FE7"/>
    <w:rsid w:val="00F046FD"/>
    <w:rsid w:val="00F05655"/>
    <w:rsid w:val="00F06539"/>
    <w:rsid w:val="00F06694"/>
    <w:rsid w:val="00F06961"/>
    <w:rsid w:val="00F07A9A"/>
    <w:rsid w:val="00F10308"/>
    <w:rsid w:val="00F109F4"/>
    <w:rsid w:val="00F10D0E"/>
    <w:rsid w:val="00F1130E"/>
    <w:rsid w:val="00F118F6"/>
    <w:rsid w:val="00F11F97"/>
    <w:rsid w:val="00F12546"/>
    <w:rsid w:val="00F13493"/>
    <w:rsid w:val="00F13CF7"/>
    <w:rsid w:val="00F151F4"/>
    <w:rsid w:val="00F16601"/>
    <w:rsid w:val="00F1770C"/>
    <w:rsid w:val="00F211CB"/>
    <w:rsid w:val="00F21699"/>
    <w:rsid w:val="00F22593"/>
    <w:rsid w:val="00F2271D"/>
    <w:rsid w:val="00F22A53"/>
    <w:rsid w:val="00F22C62"/>
    <w:rsid w:val="00F23405"/>
    <w:rsid w:val="00F244A5"/>
    <w:rsid w:val="00F2479E"/>
    <w:rsid w:val="00F25DD1"/>
    <w:rsid w:val="00F26538"/>
    <w:rsid w:val="00F26AE2"/>
    <w:rsid w:val="00F27472"/>
    <w:rsid w:val="00F27BC1"/>
    <w:rsid w:val="00F30FBC"/>
    <w:rsid w:val="00F32379"/>
    <w:rsid w:val="00F32C87"/>
    <w:rsid w:val="00F32FA5"/>
    <w:rsid w:val="00F33B3E"/>
    <w:rsid w:val="00F342AF"/>
    <w:rsid w:val="00F3433E"/>
    <w:rsid w:val="00F34BC1"/>
    <w:rsid w:val="00F34E37"/>
    <w:rsid w:val="00F351F9"/>
    <w:rsid w:val="00F36958"/>
    <w:rsid w:val="00F36F7D"/>
    <w:rsid w:val="00F36F9E"/>
    <w:rsid w:val="00F40D06"/>
    <w:rsid w:val="00F41200"/>
    <w:rsid w:val="00F42136"/>
    <w:rsid w:val="00F42BC1"/>
    <w:rsid w:val="00F430B1"/>
    <w:rsid w:val="00F46A07"/>
    <w:rsid w:val="00F473D0"/>
    <w:rsid w:val="00F51389"/>
    <w:rsid w:val="00F51B6C"/>
    <w:rsid w:val="00F525EC"/>
    <w:rsid w:val="00F53355"/>
    <w:rsid w:val="00F53B0E"/>
    <w:rsid w:val="00F56A7A"/>
    <w:rsid w:val="00F571A3"/>
    <w:rsid w:val="00F572DD"/>
    <w:rsid w:val="00F60F47"/>
    <w:rsid w:val="00F62363"/>
    <w:rsid w:val="00F62B64"/>
    <w:rsid w:val="00F63F21"/>
    <w:rsid w:val="00F654DC"/>
    <w:rsid w:val="00F715C4"/>
    <w:rsid w:val="00F71616"/>
    <w:rsid w:val="00F716D5"/>
    <w:rsid w:val="00F72698"/>
    <w:rsid w:val="00F72BFA"/>
    <w:rsid w:val="00F741D4"/>
    <w:rsid w:val="00F74928"/>
    <w:rsid w:val="00F75283"/>
    <w:rsid w:val="00F75A3B"/>
    <w:rsid w:val="00F77C37"/>
    <w:rsid w:val="00F77D4A"/>
    <w:rsid w:val="00F77FC6"/>
    <w:rsid w:val="00F80BB9"/>
    <w:rsid w:val="00F850F1"/>
    <w:rsid w:val="00F92CE5"/>
    <w:rsid w:val="00F945CF"/>
    <w:rsid w:val="00F94D96"/>
    <w:rsid w:val="00F956EC"/>
    <w:rsid w:val="00F970D4"/>
    <w:rsid w:val="00FA10E0"/>
    <w:rsid w:val="00FA21CC"/>
    <w:rsid w:val="00FA268F"/>
    <w:rsid w:val="00FA2D1D"/>
    <w:rsid w:val="00FA348C"/>
    <w:rsid w:val="00FA4077"/>
    <w:rsid w:val="00FA5348"/>
    <w:rsid w:val="00FA57A2"/>
    <w:rsid w:val="00FA6560"/>
    <w:rsid w:val="00FA6B5B"/>
    <w:rsid w:val="00FA6BDC"/>
    <w:rsid w:val="00FA6C80"/>
    <w:rsid w:val="00FB08A6"/>
    <w:rsid w:val="00FB0BF7"/>
    <w:rsid w:val="00FB0DBC"/>
    <w:rsid w:val="00FB25B5"/>
    <w:rsid w:val="00FB2E15"/>
    <w:rsid w:val="00FB3B3A"/>
    <w:rsid w:val="00FB4B9B"/>
    <w:rsid w:val="00FB51F0"/>
    <w:rsid w:val="00FB5491"/>
    <w:rsid w:val="00FB6B4E"/>
    <w:rsid w:val="00FB7306"/>
    <w:rsid w:val="00FB7509"/>
    <w:rsid w:val="00FB75F5"/>
    <w:rsid w:val="00FC003F"/>
    <w:rsid w:val="00FC0560"/>
    <w:rsid w:val="00FC083A"/>
    <w:rsid w:val="00FC091D"/>
    <w:rsid w:val="00FC0FAE"/>
    <w:rsid w:val="00FC11C6"/>
    <w:rsid w:val="00FC14F2"/>
    <w:rsid w:val="00FC191D"/>
    <w:rsid w:val="00FC3703"/>
    <w:rsid w:val="00FC7DC2"/>
    <w:rsid w:val="00FD0F3C"/>
    <w:rsid w:val="00FD1524"/>
    <w:rsid w:val="00FD1762"/>
    <w:rsid w:val="00FD17B5"/>
    <w:rsid w:val="00FD23BD"/>
    <w:rsid w:val="00FD763E"/>
    <w:rsid w:val="00FE055B"/>
    <w:rsid w:val="00FE1B5F"/>
    <w:rsid w:val="00FE2820"/>
    <w:rsid w:val="00FE2D9D"/>
    <w:rsid w:val="00FE4E6A"/>
    <w:rsid w:val="00FE559B"/>
    <w:rsid w:val="00FE5AD3"/>
    <w:rsid w:val="00FE6714"/>
    <w:rsid w:val="00FE68A0"/>
    <w:rsid w:val="00FE7C7E"/>
    <w:rsid w:val="00FF0452"/>
    <w:rsid w:val="00FF09A3"/>
    <w:rsid w:val="00FF10F2"/>
    <w:rsid w:val="00FF1718"/>
    <w:rsid w:val="00FF483F"/>
    <w:rsid w:val="00FF4DA0"/>
    <w:rsid w:val="00FF5599"/>
    <w:rsid w:val="00FF69A7"/>
    <w:rsid w:val="00FF734B"/>
    <w:rsid w:val="00FF7718"/>
    <w:rsid w:val="00FF778F"/>
    <w:rsid w:val="016FAD81"/>
    <w:rsid w:val="01DBADA5"/>
    <w:rsid w:val="052CA89A"/>
    <w:rsid w:val="05635A0A"/>
    <w:rsid w:val="0601FDD8"/>
    <w:rsid w:val="0A7819F8"/>
    <w:rsid w:val="0B4DD3F0"/>
    <w:rsid w:val="0B7B666A"/>
    <w:rsid w:val="0BB7ACC9"/>
    <w:rsid w:val="0C029805"/>
    <w:rsid w:val="0E7E5634"/>
    <w:rsid w:val="127F1248"/>
    <w:rsid w:val="158A15F9"/>
    <w:rsid w:val="1678F690"/>
    <w:rsid w:val="1C4977F7"/>
    <w:rsid w:val="1ED69894"/>
    <w:rsid w:val="1FB34D21"/>
    <w:rsid w:val="2204B839"/>
    <w:rsid w:val="235AD154"/>
    <w:rsid w:val="243F80C8"/>
    <w:rsid w:val="24783DBD"/>
    <w:rsid w:val="2B5AFF46"/>
    <w:rsid w:val="2C9BD61B"/>
    <w:rsid w:val="2D21909B"/>
    <w:rsid w:val="2D261B49"/>
    <w:rsid w:val="2EAFF5DE"/>
    <w:rsid w:val="3026228F"/>
    <w:rsid w:val="313D9868"/>
    <w:rsid w:val="3156259D"/>
    <w:rsid w:val="3237B09F"/>
    <w:rsid w:val="326D8F46"/>
    <w:rsid w:val="3587FF45"/>
    <w:rsid w:val="36E5C923"/>
    <w:rsid w:val="41E429A5"/>
    <w:rsid w:val="4214A028"/>
    <w:rsid w:val="43877EAD"/>
    <w:rsid w:val="43951380"/>
    <w:rsid w:val="4482616D"/>
    <w:rsid w:val="468FC74A"/>
    <w:rsid w:val="4D9600E4"/>
    <w:rsid w:val="4E868C8F"/>
    <w:rsid w:val="4FAFB98A"/>
    <w:rsid w:val="541CB2F0"/>
    <w:rsid w:val="56777F7A"/>
    <w:rsid w:val="57571D78"/>
    <w:rsid w:val="5D1C5FC3"/>
    <w:rsid w:val="60905631"/>
    <w:rsid w:val="60B0DB15"/>
    <w:rsid w:val="6142028A"/>
    <w:rsid w:val="63494A1D"/>
    <w:rsid w:val="6A152BA6"/>
    <w:rsid w:val="6A4191B0"/>
    <w:rsid w:val="6E3C1120"/>
    <w:rsid w:val="6EC6F76D"/>
    <w:rsid w:val="719AEA38"/>
    <w:rsid w:val="7617B0DB"/>
    <w:rsid w:val="7BB33FF9"/>
    <w:rsid w:val="7CD149A4"/>
    <w:rsid w:val="7DFA5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14599"/>
  <w15:chartTrackingRefBased/>
  <w15:docId w15:val="{E7AF43D5-AF53-482F-81D6-411CC517C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AB0"/>
  </w:style>
  <w:style w:type="paragraph" w:styleId="Heading1">
    <w:name w:val="heading 1"/>
    <w:basedOn w:val="Normal"/>
    <w:link w:val="Heading1Char"/>
    <w:uiPriority w:val="9"/>
    <w:qFormat/>
    <w:rsid w:val="006A0EB4"/>
    <w:pPr>
      <w:widowControl w:val="0"/>
      <w:autoSpaceDE w:val="0"/>
      <w:autoSpaceDN w:val="0"/>
      <w:spacing w:after="0" w:line="240" w:lineRule="auto"/>
      <w:outlineLvl w:val="0"/>
    </w:pPr>
    <w:rPr>
      <w:rFonts w:ascii="Gotham Bold" w:eastAsia="Gotham Bold" w:hAnsi="Gotham Bold" w:cs="Gotham Bold"/>
      <w:b/>
      <w:bCs/>
      <w:sz w:val="24"/>
      <w:szCs w:val="24"/>
    </w:rPr>
  </w:style>
  <w:style w:type="paragraph" w:styleId="Heading2">
    <w:name w:val="heading 2"/>
    <w:basedOn w:val="Normal"/>
    <w:next w:val="Normal"/>
    <w:link w:val="Heading2Char"/>
    <w:uiPriority w:val="9"/>
    <w:semiHidden/>
    <w:unhideWhenUsed/>
    <w:qFormat/>
    <w:rsid w:val="008C074F"/>
    <w:pPr>
      <w:keepNext/>
      <w:keepLines/>
      <w:spacing w:before="40" w:after="0"/>
      <w:outlineLvl w:val="1"/>
    </w:pPr>
    <w:rPr>
      <w:rFonts w:asciiTheme="majorHAnsi" w:eastAsiaTheme="majorEastAsia" w:hAnsiTheme="majorHAnsi" w:cstheme="majorBidi"/>
      <w:color w:val="9E000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E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EB4"/>
  </w:style>
  <w:style w:type="paragraph" w:styleId="Footer">
    <w:name w:val="footer"/>
    <w:basedOn w:val="Normal"/>
    <w:link w:val="FooterChar"/>
    <w:uiPriority w:val="99"/>
    <w:unhideWhenUsed/>
    <w:rsid w:val="006A0E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EB4"/>
  </w:style>
  <w:style w:type="character" w:customStyle="1" w:styleId="Heading1Char">
    <w:name w:val="Heading 1 Char"/>
    <w:basedOn w:val="DefaultParagraphFont"/>
    <w:link w:val="Heading1"/>
    <w:uiPriority w:val="9"/>
    <w:rsid w:val="006A0EB4"/>
    <w:rPr>
      <w:rFonts w:ascii="Gotham Bold" w:eastAsia="Gotham Bold" w:hAnsi="Gotham Bold" w:cs="Gotham Bold"/>
      <w:b/>
      <w:bCs/>
      <w:sz w:val="24"/>
      <w:szCs w:val="24"/>
    </w:rPr>
  </w:style>
  <w:style w:type="paragraph" w:styleId="ListParagraph">
    <w:name w:val="List Paragraph"/>
    <w:basedOn w:val="Normal"/>
    <w:link w:val="ListParagraphChar"/>
    <w:uiPriority w:val="34"/>
    <w:qFormat/>
    <w:rsid w:val="006A0EB4"/>
    <w:pPr>
      <w:widowControl w:val="0"/>
      <w:autoSpaceDE w:val="0"/>
      <w:autoSpaceDN w:val="0"/>
      <w:spacing w:after="0" w:line="240" w:lineRule="auto"/>
    </w:pPr>
    <w:rPr>
      <w:rFonts w:ascii="Gotham Book" w:eastAsia="Gotham Book" w:hAnsi="Gotham Book" w:cs="Gotham Book"/>
    </w:rPr>
  </w:style>
  <w:style w:type="character" w:customStyle="1" w:styleId="ListParagraphChar">
    <w:name w:val="List Paragraph Char"/>
    <w:basedOn w:val="DefaultParagraphFont"/>
    <w:link w:val="ListParagraph"/>
    <w:uiPriority w:val="34"/>
    <w:locked/>
    <w:rsid w:val="006A0EB4"/>
    <w:rPr>
      <w:rFonts w:ascii="Gotham Book" w:eastAsia="Gotham Book" w:hAnsi="Gotham Book" w:cs="Gotham Book"/>
    </w:rPr>
  </w:style>
  <w:style w:type="paragraph" w:customStyle="1" w:styleId="TableParagraph">
    <w:name w:val="Table Paragraph"/>
    <w:basedOn w:val="Normal"/>
    <w:uiPriority w:val="1"/>
    <w:qFormat/>
    <w:rsid w:val="00653798"/>
    <w:pPr>
      <w:widowControl w:val="0"/>
      <w:autoSpaceDE w:val="0"/>
      <w:autoSpaceDN w:val="0"/>
      <w:spacing w:after="0" w:line="240" w:lineRule="auto"/>
      <w:ind w:left="79"/>
    </w:pPr>
    <w:rPr>
      <w:rFonts w:ascii="Gotham Book" w:eastAsia="Gotham Book" w:hAnsi="Gotham Book" w:cs="Gotham Book"/>
    </w:rPr>
  </w:style>
  <w:style w:type="table" w:styleId="TableGrid">
    <w:name w:val="Table Grid"/>
    <w:basedOn w:val="TableNormal"/>
    <w:uiPriority w:val="39"/>
    <w:rsid w:val="00653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ED3572"/>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CommentReference">
    <w:name w:val="annotation reference"/>
    <w:basedOn w:val="DefaultParagraphFont"/>
    <w:uiPriority w:val="99"/>
    <w:semiHidden/>
    <w:unhideWhenUsed/>
    <w:rsid w:val="001966C7"/>
    <w:rPr>
      <w:sz w:val="16"/>
      <w:szCs w:val="16"/>
    </w:rPr>
  </w:style>
  <w:style w:type="paragraph" w:styleId="CommentText">
    <w:name w:val="annotation text"/>
    <w:basedOn w:val="Normal"/>
    <w:link w:val="CommentTextChar"/>
    <w:uiPriority w:val="99"/>
    <w:unhideWhenUsed/>
    <w:rsid w:val="001966C7"/>
    <w:pPr>
      <w:spacing w:after="0" w:line="240" w:lineRule="auto"/>
    </w:pPr>
    <w:rPr>
      <w:rFonts w:ascii="Times New Roman" w:eastAsia="Times New Roman" w:hAnsi="Times New Roman" w:cs="Times New Roman"/>
      <w:sz w:val="20"/>
      <w:szCs w:val="20"/>
      <w:lang w:val="en-CA"/>
    </w:rPr>
  </w:style>
  <w:style w:type="character" w:customStyle="1" w:styleId="CommentTextChar">
    <w:name w:val="Comment Text Char"/>
    <w:basedOn w:val="DefaultParagraphFont"/>
    <w:link w:val="CommentText"/>
    <w:uiPriority w:val="99"/>
    <w:rsid w:val="001966C7"/>
    <w:rPr>
      <w:rFonts w:ascii="Times New Roman" w:eastAsia="Times New Roman" w:hAnsi="Times New Roman" w:cs="Times New Roman"/>
      <w:sz w:val="20"/>
      <w:szCs w:val="20"/>
      <w:lang w:val="en-CA"/>
    </w:rPr>
  </w:style>
  <w:style w:type="character" w:styleId="PageNumber">
    <w:name w:val="page number"/>
    <w:basedOn w:val="DefaultParagraphFont"/>
    <w:uiPriority w:val="99"/>
    <w:semiHidden/>
    <w:unhideWhenUsed/>
    <w:rsid w:val="00DA4B23"/>
  </w:style>
  <w:style w:type="paragraph" w:styleId="CommentSubject">
    <w:name w:val="annotation subject"/>
    <w:basedOn w:val="CommentText"/>
    <w:next w:val="CommentText"/>
    <w:link w:val="CommentSubjectChar"/>
    <w:uiPriority w:val="99"/>
    <w:semiHidden/>
    <w:unhideWhenUsed/>
    <w:rsid w:val="00CA1B74"/>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CA1B74"/>
    <w:rPr>
      <w:rFonts w:ascii="Times New Roman" w:eastAsia="Times New Roman" w:hAnsi="Times New Roman" w:cs="Times New Roman"/>
      <w:b/>
      <w:bCs/>
      <w:sz w:val="20"/>
      <w:szCs w:val="20"/>
      <w:lang w:val="en-CA"/>
    </w:rPr>
  </w:style>
  <w:style w:type="character" w:styleId="Hyperlink">
    <w:name w:val="Hyperlink"/>
    <w:basedOn w:val="DefaultParagraphFont"/>
    <w:uiPriority w:val="99"/>
    <w:unhideWhenUsed/>
    <w:rsid w:val="00020954"/>
    <w:rPr>
      <w:color w:val="0563C1" w:themeColor="hyperlink"/>
      <w:u w:val="single"/>
    </w:rPr>
  </w:style>
  <w:style w:type="character" w:styleId="UnresolvedMention">
    <w:name w:val="Unresolved Mention"/>
    <w:basedOn w:val="DefaultParagraphFont"/>
    <w:uiPriority w:val="99"/>
    <w:unhideWhenUsed/>
    <w:rsid w:val="00020954"/>
    <w:rPr>
      <w:color w:val="605E5C"/>
      <w:shd w:val="clear" w:color="auto" w:fill="E1DFDD"/>
    </w:rPr>
  </w:style>
  <w:style w:type="paragraph" w:styleId="Revision">
    <w:name w:val="Revision"/>
    <w:hidden/>
    <w:uiPriority w:val="99"/>
    <w:semiHidden/>
    <w:rsid w:val="00BE41CE"/>
    <w:pPr>
      <w:spacing w:after="0" w:line="240" w:lineRule="auto"/>
    </w:pPr>
  </w:style>
  <w:style w:type="character" w:styleId="Mention">
    <w:name w:val="Mention"/>
    <w:basedOn w:val="DefaultParagraphFont"/>
    <w:uiPriority w:val="99"/>
    <w:unhideWhenUsed/>
    <w:rsid w:val="00CD7542"/>
    <w:rPr>
      <w:color w:val="2B579A"/>
      <w:shd w:val="clear" w:color="auto" w:fill="E1DFDD"/>
    </w:rPr>
  </w:style>
  <w:style w:type="character" w:customStyle="1" w:styleId="A3">
    <w:name w:val="A3"/>
    <w:uiPriority w:val="99"/>
    <w:rsid w:val="004A34BD"/>
    <w:rPr>
      <w:rFonts w:cs="Gotham Book"/>
      <w:color w:val="221E1F"/>
      <w:sz w:val="16"/>
      <w:szCs w:val="16"/>
    </w:rPr>
  </w:style>
  <w:style w:type="character" w:styleId="FollowedHyperlink">
    <w:name w:val="FollowedHyperlink"/>
    <w:basedOn w:val="DefaultParagraphFont"/>
    <w:uiPriority w:val="99"/>
    <w:semiHidden/>
    <w:unhideWhenUsed/>
    <w:rsid w:val="00A84BBB"/>
    <w:rPr>
      <w:color w:val="954F72" w:themeColor="followedHyperlink"/>
      <w:u w:val="single"/>
    </w:rPr>
  </w:style>
  <w:style w:type="character" w:customStyle="1" w:styleId="cf01">
    <w:name w:val="cf01"/>
    <w:basedOn w:val="DefaultParagraphFont"/>
    <w:rsid w:val="00124EAC"/>
    <w:rPr>
      <w:rFonts w:ascii="Segoe UI" w:hAnsi="Segoe UI" w:cs="Segoe UI" w:hint="default"/>
      <w:sz w:val="18"/>
      <w:szCs w:val="18"/>
    </w:rPr>
  </w:style>
  <w:style w:type="character" w:customStyle="1" w:styleId="normaltextrun">
    <w:name w:val="normaltextrun"/>
    <w:basedOn w:val="DefaultParagraphFont"/>
    <w:rsid w:val="00955434"/>
  </w:style>
  <w:style w:type="character" w:customStyle="1" w:styleId="findhit">
    <w:name w:val="findhit"/>
    <w:basedOn w:val="DefaultParagraphFont"/>
    <w:rsid w:val="00955434"/>
  </w:style>
  <w:style w:type="character" w:customStyle="1" w:styleId="cf11">
    <w:name w:val="cf11"/>
    <w:basedOn w:val="DefaultParagraphFont"/>
    <w:rsid w:val="00213E08"/>
    <w:rPr>
      <w:rFonts w:ascii="Segoe UI" w:hAnsi="Segoe UI" w:cs="Segoe UI" w:hint="default"/>
      <w:color w:val="041726"/>
      <w:sz w:val="18"/>
      <w:szCs w:val="18"/>
    </w:rPr>
  </w:style>
  <w:style w:type="paragraph" w:customStyle="1" w:styleId="pf0">
    <w:name w:val="pf0"/>
    <w:basedOn w:val="Normal"/>
    <w:rsid w:val="00B85EDD"/>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ui-provider">
    <w:name w:val="ui-provider"/>
    <w:basedOn w:val="DefaultParagraphFont"/>
    <w:rsid w:val="00FB0DBC"/>
  </w:style>
  <w:style w:type="character" w:customStyle="1" w:styleId="Heading2Char">
    <w:name w:val="Heading 2 Char"/>
    <w:basedOn w:val="DefaultParagraphFont"/>
    <w:link w:val="Heading2"/>
    <w:uiPriority w:val="9"/>
    <w:semiHidden/>
    <w:rsid w:val="008C074F"/>
    <w:rPr>
      <w:rFonts w:asciiTheme="majorHAnsi" w:eastAsiaTheme="majorEastAsia" w:hAnsiTheme="majorHAnsi" w:cstheme="majorBidi"/>
      <w:color w:val="9E0000" w:themeColor="accent1" w:themeShade="BF"/>
      <w:sz w:val="26"/>
      <w:szCs w:val="26"/>
    </w:rPr>
  </w:style>
  <w:style w:type="paragraph" w:styleId="NormalWeb">
    <w:name w:val="Normal (Web)"/>
    <w:basedOn w:val="Normal"/>
    <w:uiPriority w:val="99"/>
    <w:unhideWhenUsed/>
    <w:rsid w:val="00EE1D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06407">
      <w:bodyDiv w:val="1"/>
      <w:marLeft w:val="0"/>
      <w:marRight w:val="0"/>
      <w:marTop w:val="0"/>
      <w:marBottom w:val="0"/>
      <w:divBdr>
        <w:top w:val="none" w:sz="0" w:space="0" w:color="auto"/>
        <w:left w:val="none" w:sz="0" w:space="0" w:color="auto"/>
        <w:bottom w:val="none" w:sz="0" w:space="0" w:color="auto"/>
        <w:right w:val="none" w:sz="0" w:space="0" w:color="auto"/>
      </w:divBdr>
    </w:div>
    <w:div w:id="179586413">
      <w:bodyDiv w:val="1"/>
      <w:marLeft w:val="0"/>
      <w:marRight w:val="0"/>
      <w:marTop w:val="0"/>
      <w:marBottom w:val="0"/>
      <w:divBdr>
        <w:top w:val="none" w:sz="0" w:space="0" w:color="auto"/>
        <w:left w:val="none" w:sz="0" w:space="0" w:color="auto"/>
        <w:bottom w:val="none" w:sz="0" w:space="0" w:color="auto"/>
        <w:right w:val="none" w:sz="0" w:space="0" w:color="auto"/>
      </w:divBdr>
    </w:div>
    <w:div w:id="202640075">
      <w:bodyDiv w:val="1"/>
      <w:marLeft w:val="0"/>
      <w:marRight w:val="0"/>
      <w:marTop w:val="0"/>
      <w:marBottom w:val="0"/>
      <w:divBdr>
        <w:top w:val="none" w:sz="0" w:space="0" w:color="auto"/>
        <w:left w:val="none" w:sz="0" w:space="0" w:color="auto"/>
        <w:bottom w:val="none" w:sz="0" w:space="0" w:color="auto"/>
        <w:right w:val="none" w:sz="0" w:space="0" w:color="auto"/>
      </w:divBdr>
    </w:div>
    <w:div w:id="315691594">
      <w:bodyDiv w:val="1"/>
      <w:marLeft w:val="0"/>
      <w:marRight w:val="0"/>
      <w:marTop w:val="0"/>
      <w:marBottom w:val="0"/>
      <w:divBdr>
        <w:top w:val="none" w:sz="0" w:space="0" w:color="auto"/>
        <w:left w:val="none" w:sz="0" w:space="0" w:color="auto"/>
        <w:bottom w:val="none" w:sz="0" w:space="0" w:color="auto"/>
        <w:right w:val="none" w:sz="0" w:space="0" w:color="auto"/>
      </w:divBdr>
    </w:div>
    <w:div w:id="676924752">
      <w:bodyDiv w:val="1"/>
      <w:marLeft w:val="0"/>
      <w:marRight w:val="0"/>
      <w:marTop w:val="0"/>
      <w:marBottom w:val="0"/>
      <w:divBdr>
        <w:top w:val="none" w:sz="0" w:space="0" w:color="auto"/>
        <w:left w:val="none" w:sz="0" w:space="0" w:color="auto"/>
        <w:bottom w:val="none" w:sz="0" w:space="0" w:color="auto"/>
        <w:right w:val="none" w:sz="0" w:space="0" w:color="auto"/>
      </w:divBdr>
    </w:div>
    <w:div w:id="704254011">
      <w:bodyDiv w:val="1"/>
      <w:marLeft w:val="0"/>
      <w:marRight w:val="0"/>
      <w:marTop w:val="0"/>
      <w:marBottom w:val="0"/>
      <w:divBdr>
        <w:top w:val="none" w:sz="0" w:space="0" w:color="auto"/>
        <w:left w:val="none" w:sz="0" w:space="0" w:color="auto"/>
        <w:bottom w:val="none" w:sz="0" w:space="0" w:color="auto"/>
        <w:right w:val="none" w:sz="0" w:space="0" w:color="auto"/>
      </w:divBdr>
    </w:div>
    <w:div w:id="776220305">
      <w:bodyDiv w:val="1"/>
      <w:marLeft w:val="0"/>
      <w:marRight w:val="0"/>
      <w:marTop w:val="0"/>
      <w:marBottom w:val="0"/>
      <w:divBdr>
        <w:top w:val="none" w:sz="0" w:space="0" w:color="auto"/>
        <w:left w:val="none" w:sz="0" w:space="0" w:color="auto"/>
        <w:bottom w:val="none" w:sz="0" w:space="0" w:color="auto"/>
        <w:right w:val="none" w:sz="0" w:space="0" w:color="auto"/>
      </w:divBdr>
    </w:div>
    <w:div w:id="1061631358">
      <w:bodyDiv w:val="1"/>
      <w:marLeft w:val="0"/>
      <w:marRight w:val="0"/>
      <w:marTop w:val="0"/>
      <w:marBottom w:val="0"/>
      <w:divBdr>
        <w:top w:val="none" w:sz="0" w:space="0" w:color="auto"/>
        <w:left w:val="none" w:sz="0" w:space="0" w:color="auto"/>
        <w:bottom w:val="none" w:sz="0" w:space="0" w:color="auto"/>
        <w:right w:val="none" w:sz="0" w:space="0" w:color="auto"/>
      </w:divBdr>
    </w:div>
    <w:div w:id="1089542961">
      <w:bodyDiv w:val="1"/>
      <w:marLeft w:val="0"/>
      <w:marRight w:val="0"/>
      <w:marTop w:val="0"/>
      <w:marBottom w:val="0"/>
      <w:divBdr>
        <w:top w:val="none" w:sz="0" w:space="0" w:color="auto"/>
        <w:left w:val="none" w:sz="0" w:space="0" w:color="auto"/>
        <w:bottom w:val="none" w:sz="0" w:space="0" w:color="auto"/>
        <w:right w:val="none" w:sz="0" w:space="0" w:color="auto"/>
      </w:divBdr>
    </w:div>
    <w:div w:id="1098141682">
      <w:bodyDiv w:val="1"/>
      <w:marLeft w:val="0"/>
      <w:marRight w:val="0"/>
      <w:marTop w:val="0"/>
      <w:marBottom w:val="0"/>
      <w:divBdr>
        <w:top w:val="none" w:sz="0" w:space="0" w:color="auto"/>
        <w:left w:val="none" w:sz="0" w:space="0" w:color="auto"/>
        <w:bottom w:val="none" w:sz="0" w:space="0" w:color="auto"/>
        <w:right w:val="none" w:sz="0" w:space="0" w:color="auto"/>
      </w:divBdr>
    </w:div>
    <w:div w:id="1169560659">
      <w:bodyDiv w:val="1"/>
      <w:marLeft w:val="0"/>
      <w:marRight w:val="0"/>
      <w:marTop w:val="0"/>
      <w:marBottom w:val="0"/>
      <w:divBdr>
        <w:top w:val="none" w:sz="0" w:space="0" w:color="auto"/>
        <w:left w:val="none" w:sz="0" w:space="0" w:color="auto"/>
        <w:bottom w:val="none" w:sz="0" w:space="0" w:color="auto"/>
        <w:right w:val="none" w:sz="0" w:space="0" w:color="auto"/>
      </w:divBdr>
    </w:div>
    <w:div w:id="1197959919">
      <w:bodyDiv w:val="1"/>
      <w:marLeft w:val="0"/>
      <w:marRight w:val="0"/>
      <w:marTop w:val="0"/>
      <w:marBottom w:val="0"/>
      <w:divBdr>
        <w:top w:val="none" w:sz="0" w:space="0" w:color="auto"/>
        <w:left w:val="none" w:sz="0" w:space="0" w:color="auto"/>
        <w:bottom w:val="none" w:sz="0" w:space="0" w:color="auto"/>
        <w:right w:val="none" w:sz="0" w:space="0" w:color="auto"/>
      </w:divBdr>
    </w:div>
    <w:div w:id="1372729030">
      <w:bodyDiv w:val="1"/>
      <w:marLeft w:val="0"/>
      <w:marRight w:val="0"/>
      <w:marTop w:val="0"/>
      <w:marBottom w:val="0"/>
      <w:divBdr>
        <w:top w:val="none" w:sz="0" w:space="0" w:color="auto"/>
        <w:left w:val="none" w:sz="0" w:space="0" w:color="auto"/>
        <w:bottom w:val="none" w:sz="0" w:space="0" w:color="auto"/>
        <w:right w:val="none" w:sz="0" w:space="0" w:color="auto"/>
      </w:divBdr>
    </w:div>
    <w:div w:id="1463692790">
      <w:bodyDiv w:val="1"/>
      <w:marLeft w:val="0"/>
      <w:marRight w:val="0"/>
      <w:marTop w:val="0"/>
      <w:marBottom w:val="0"/>
      <w:divBdr>
        <w:top w:val="none" w:sz="0" w:space="0" w:color="auto"/>
        <w:left w:val="none" w:sz="0" w:space="0" w:color="auto"/>
        <w:bottom w:val="none" w:sz="0" w:space="0" w:color="auto"/>
        <w:right w:val="none" w:sz="0" w:space="0" w:color="auto"/>
      </w:divBdr>
    </w:div>
    <w:div w:id="1519470696">
      <w:bodyDiv w:val="1"/>
      <w:marLeft w:val="0"/>
      <w:marRight w:val="0"/>
      <w:marTop w:val="0"/>
      <w:marBottom w:val="0"/>
      <w:divBdr>
        <w:top w:val="none" w:sz="0" w:space="0" w:color="auto"/>
        <w:left w:val="none" w:sz="0" w:space="0" w:color="auto"/>
        <w:bottom w:val="none" w:sz="0" w:space="0" w:color="auto"/>
        <w:right w:val="none" w:sz="0" w:space="0" w:color="auto"/>
      </w:divBdr>
    </w:div>
    <w:div w:id="1657105494">
      <w:bodyDiv w:val="1"/>
      <w:marLeft w:val="0"/>
      <w:marRight w:val="0"/>
      <w:marTop w:val="0"/>
      <w:marBottom w:val="0"/>
      <w:divBdr>
        <w:top w:val="none" w:sz="0" w:space="0" w:color="auto"/>
        <w:left w:val="none" w:sz="0" w:space="0" w:color="auto"/>
        <w:bottom w:val="none" w:sz="0" w:space="0" w:color="auto"/>
        <w:right w:val="none" w:sz="0" w:space="0" w:color="auto"/>
      </w:divBdr>
      <w:divsChild>
        <w:div w:id="1636333289">
          <w:marLeft w:val="0"/>
          <w:marRight w:val="0"/>
          <w:marTop w:val="450"/>
          <w:marBottom w:val="450"/>
          <w:divBdr>
            <w:top w:val="none" w:sz="0" w:space="0" w:color="auto"/>
            <w:left w:val="none" w:sz="0" w:space="0" w:color="auto"/>
            <w:bottom w:val="none" w:sz="0" w:space="0" w:color="auto"/>
            <w:right w:val="none" w:sz="0" w:space="0" w:color="auto"/>
          </w:divBdr>
        </w:div>
      </w:divsChild>
    </w:div>
    <w:div w:id="1677615358">
      <w:bodyDiv w:val="1"/>
      <w:marLeft w:val="0"/>
      <w:marRight w:val="0"/>
      <w:marTop w:val="0"/>
      <w:marBottom w:val="0"/>
      <w:divBdr>
        <w:top w:val="none" w:sz="0" w:space="0" w:color="auto"/>
        <w:left w:val="none" w:sz="0" w:space="0" w:color="auto"/>
        <w:bottom w:val="none" w:sz="0" w:space="0" w:color="auto"/>
        <w:right w:val="none" w:sz="0" w:space="0" w:color="auto"/>
      </w:divBdr>
    </w:div>
    <w:div w:id="1900554706">
      <w:bodyDiv w:val="1"/>
      <w:marLeft w:val="0"/>
      <w:marRight w:val="0"/>
      <w:marTop w:val="0"/>
      <w:marBottom w:val="0"/>
      <w:divBdr>
        <w:top w:val="none" w:sz="0" w:space="0" w:color="auto"/>
        <w:left w:val="none" w:sz="0" w:space="0" w:color="auto"/>
        <w:bottom w:val="none" w:sz="0" w:space="0" w:color="auto"/>
        <w:right w:val="none" w:sz="0" w:space="0" w:color="auto"/>
      </w:divBdr>
    </w:div>
    <w:div w:id="195955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da.gov/drugs/resources-information-approved-drugs/fda-approves-olaparib-hrr-gene-mutated-metastatic-castration-resistant-prostate-canc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ynparzahcp.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astrazeneca-us.com/media/press-releases/2021/lynparza-olaparib-in-combination-with-abiraterone-significantly-delayed-disease-progression-in-all-comers-in-propel-phase-iii-trial-in-1st-line-metastatic-castration-resistant-prostate-cancer-09242021.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da.gov/drugs/drug-approvals-and-databases/fda-approves-olaparib-abiraterone-and-prednisone-or-prednisolone-brca-mutated-metastatic-castration" TargetMode="External"/></Relationships>
</file>

<file path=word/theme/theme1.xml><?xml version="1.0" encoding="utf-8"?>
<a:theme xmlns:a="http://schemas.openxmlformats.org/drawingml/2006/main" name="Office Theme">
  <a:themeElements>
    <a:clrScheme name="RN Storyboard Template">
      <a:dk1>
        <a:srgbClr val="041726"/>
      </a:dk1>
      <a:lt1>
        <a:srgbClr val="E6EBEF"/>
      </a:lt1>
      <a:dk2>
        <a:srgbClr val="324C61"/>
      </a:dk2>
      <a:lt2>
        <a:srgbClr val="829BAD"/>
      </a:lt2>
      <a:accent1>
        <a:srgbClr val="D30000"/>
      </a:accent1>
      <a:accent2>
        <a:srgbClr val="565ADD"/>
      </a:accent2>
      <a:accent3>
        <a:srgbClr val="00A3AD"/>
      </a:accent3>
      <a:accent4>
        <a:srgbClr val="003399"/>
      </a:accent4>
      <a:accent5>
        <a:srgbClr val="000000"/>
      </a:accent5>
      <a:accent6>
        <a:srgbClr val="FFFFFF"/>
      </a:accent6>
      <a:hlink>
        <a:srgbClr val="0563C1"/>
      </a:hlink>
      <a:folHlink>
        <a:srgbClr val="954F72"/>
      </a:folHlink>
    </a:clrScheme>
    <a:fontScheme name="RN Storyboard Template">
      <a:majorFont>
        <a:latin typeface="Karla"/>
        <a:ea typeface=""/>
        <a:cs typeface=""/>
      </a:majorFont>
      <a:minorFont>
        <a:latin typeface="Karl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7612d6-afa9-43f3-b030-bc1d1f94b745">
      <Terms xmlns="http://schemas.microsoft.com/office/infopath/2007/PartnerControls"/>
    </lcf76f155ced4ddcb4097134ff3c332f>
    <TaxCatchAll xmlns="72280e7f-7c4b-427b-aa9a-e0a472190a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54F6FC3741E442B3559C147FF02450" ma:contentTypeVersion="11" ma:contentTypeDescription="Create a new document." ma:contentTypeScope="" ma:versionID="57c60dfaaab657aedb82986330da1d38">
  <xsd:schema xmlns:xsd="http://www.w3.org/2001/XMLSchema" xmlns:xs="http://www.w3.org/2001/XMLSchema" xmlns:p="http://schemas.microsoft.com/office/2006/metadata/properties" xmlns:ns2="907612d6-afa9-43f3-b030-bc1d1f94b745" xmlns:ns3="72280e7f-7c4b-427b-aa9a-e0a472190acc" targetNamespace="http://schemas.microsoft.com/office/2006/metadata/properties" ma:root="true" ma:fieldsID="33f0d2a6677f3ebe74dd6bdc059b5c4a" ns2:_="" ns3:_="">
    <xsd:import namespace="907612d6-afa9-43f3-b030-bc1d1f94b745"/>
    <xsd:import namespace="72280e7f-7c4b-427b-aa9a-e0a472190a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612d6-afa9-43f3-b030-bc1d1f94b74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3d42b1d-48c7-46d9-9c77-f823453947f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280e7f-7c4b-427b-aa9a-e0a472190a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1bed1c-8dd2-450b-a29b-4ae83a20ba38}" ma:internalName="TaxCatchAll" ma:showField="CatchAllData" ma:web="72280e7f-7c4b-427b-aa9a-e0a472190a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44B02-1ADE-4E6B-9CAC-778B68AF041B}">
  <ds:schemaRefs>
    <ds:schemaRef ds:uri="http://schemas.openxmlformats.org/officeDocument/2006/bibliography"/>
  </ds:schemaRefs>
</ds:datastoreItem>
</file>

<file path=customXml/itemProps2.xml><?xml version="1.0" encoding="utf-8"?>
<ds:datastoreItem xmlns:ds="http://schemas.openxmlformats.org/officeDocument/2006/customXml" ds:itemID="{97EC3015-33FE-4C51-B78F-BCF110DE401D}">
  <ds:schemaRefs>
    <ds:schemaRef ds:uri="http://schemas.microsoft.com/office/2006/metadata/properties"/>
    <ds:schemaRef ds:uri="http://schemas.microsoft.com/office/infopath/2007/PartnerControls"/>
    <ds:schemaRef ds:uri="108345fe-0c92-4753-8209-69ef00914fe2"/>
    <ds:schemaRef ds:uri="a4347c88-2543-421b-a38c-9d03b882c579"/>
    <ds:schemaRef ds:uri="907612d6-afa9-43f3-b030-bc1d1f94b745"/>
    <ds:schemaRef ds:uri="72280e7f-7c4b-427b-aa9a-e0a472190acc"/>
  </ds:schemaRefs>
</ds:datastoreItem>
</file>

<file path=customXml/itemProps3.xml><?xml version="1.0" encoding="utf-8"?>
<ds:datastoreItem xmlns:ds="http://schemas.openxmlformats.org/officeDocument/2006/customXml" ds:itemID="{9CCF1FEC-C5D9-4401-8A1E-BDB59EA82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612d6-afa9-43f3-b030-bc1d1f94b745"/>
    <ds:schemaRef ds:uri="72280e7f-7c4b-427b-aa9a-e0a472190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C788F6-670D-4B60-86DA-40D557E7BE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2568</Words>
  <Characters>16736</Characters>
  <Application>Microsoft Office Word</Application>
  <DocSecurity>0</DocSecurity>
  <Lines>478</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19008</CharactersWithSpaces>
  <SharedDoc>false</SharedDoc>
  <HLinks>
    <vt:vector size="24" baseType="variant">
      <vt:variant>
        <vt:i4>327719</vt:i4>
      </vt:variant>
      <vt:variant>
        <vt:i4>9</vt:i4>
      </vt:variant>
      <vt:variant>
        <vt:i4>0</vt:i4>
      </vt:variant>
      <vt:variant>
        <vt:i4>5</vt:i4>
      </vt:variant>
      <vt:variant>
        <vt:lpwstr>mailto:ABBATA02@pfizer.com</vt:lpwstr>
      </vt:variant>
      <vt:variant>
        <vt:lpwstr/>
      </vt:variant>
      <vt:variant>
        <vt:i4>327719</vt:i4>
      </vt:variant>
      <vt:variant>
        <vt:i4>6</vt:i4>
      </vt:variant>
      <vt:variant>
        <vt:i4>0</vt:i4>
      </vt:variant>
      <vt:variant>
        <vt:i4>5</vt:i4>
      </vt:variant>
      <vt:variant>
        <vt:lpwstr>mailto:ABBATA02@pfizer.com</vt:lpwstr>
      </vt:variant>
      <vt:variant>
        <vt:lpwstr/>
      </vt:variant>
      <vt:variant>
        <vt:i4>983089</vt:i4>
      </vt:variant>
      <vt:variant>
        <vt:i4>3</vt:i4>
      </vt:variant>
      <vt:variant>
        <vt:i4>0</vt:i4>
      </vt:variant>
      <vt:variant>
        <vt:i4>5</vt:i4>
      </vt:variant>
      <vt:variant>
        <vt:lpwstr>mailto:SHAHP62@pfizer.com</vt:lpwstr>
      </vt:variant>
      <vt:variant>
        <vt:lpwstr/>
      </vt:variant>
      <vt:variant>
        <vt:i4>3538949</vt:i4>
      </vt:variant>
      <vt:variant>
        <vt:i4>0</vt:i4>
      </vt:variant>
      <vt:variant>
        <vt:i4>0</vt:i4>
      </vt:variant>
      <vt:variant>
        <vt:i4>5</vt:i4>
      </vt:variant>
      <vt:variant>
        <vt:lpwstr>mailto:KULISN@pfizer.com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Barany, Ingrid</dc:creator>
  <cp:keywords/>
  <dc:description/>
  <cp:lastModifiedBy>Jabour, Joe</cp:lastModifiedBy>
  <cp:revision>3</cp:revision>
  <dcterms:created xsi:type="dcterms:W3CDTF">2024-11-19T17:42:00Z</dcterms:created>
  <dcterms:modified xsi:type="dcterms:W3CDTF">2024-11-19T18:27:00Z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0x01010051D8468F04BA204BBEE6B68C6984EA75</vt:lpwstr>
  </property>
  <property fmtid="{D5CDD505-2E9C-101B-9397-08002B2CF9AE}" pid="3" name="MSIP_Label_4791b42f-c435-42ca-9531-75a3f42aae3d_Enabled">
    <vt:lpwstr>true</vt:lpwstr>
  </property>
  <property fmtid="{D5CDD505-2E9C-101B-9397-08002B2CF9AE}" pid="4" name="MSIP_Label_4791b42f-c435-42ca-9531-75a3f42aae3d_SetDate">
    <vt:lpwstr>2023-07-17T13:36:42Z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74651e90-153b-4ae4-bdd0-a38a5dfbd30e</vt:lpwstr>
  </property>
  <property fmtid="{D5CDD505-2E9C-101B-9397-08002B2CF9AE}" pid="9" name="MSIP_Label_4791b42f-c435-42ca-9531-75a3f42aae3d_ContentBits">
    <vt:lpwstr>0</vt:lpwstr>
  </property>
  <property fmtid="{D5CDD505-2E9C-101B-9397-08002B2CF9AE}" pid="10" name="GrammarlyDocumentId">
    <vt:lpwstr>694e7543395db22ec935c7633caff1f1082318ed2e7dfae51fd2234f68d0f43f</vt:lpwstr>
  </property>
  <property fmtid="{D5CDD505-2E9C-101B-9397-08002B2CF9AE}" pid="11" name="MSIP_Label_d9088468-0951-4aef-9cc3-0a346e475ddc_Enabled">
    <vt:lpwstr>true</vt:lpwstr>
  </property>
  <property fmtid="{D5CDD505-2E9C-101B-9397-08002B2CF9AE}" pid="12" name="MSIP_Label_d9088468-0951-4aef-9cc3-0a346e475ddc_SetDate">
    <vt:lpwstr>2023-12-06T15:48:03Z</vt:lpwstr>
  </property>
  <property fmtid="{D5CDD505-2E9C-101B-9397-08002B2CF9AE}" pid="13" name="MSIP_Label_d9088468-0951-4aef-9cc3-0a346e475ddc_Method">
    <vt:lpwstr>Privileged</vt:lpwstr>
  </property>
  <property fmtid="{D5CDD505-2E9C-101B-9397-08002B2CF9AE}" pid="14" name="MSIP_Label_d9088468-0951-4aef-9cc3-0a346e475ddc_Name">
    <vt:lpwstr>Public</vt:lpwstr>
  </property>
  <property fmtid="{D5CDD505-2E9C-101B-9397-08002B2CF9AE}" pid="15" name="MSIP_Label_d9088468-0951-4aef-9cc3-0a346e475ddc_SiteId">
    <vt:lpwstr>aca3c8d6-aa71-4e1a-a10e-03572fc58c0b</vt:lpwstr>
  </property>
  <property fmtid="{D5CDD505-2E9C-101B-9397-08002B2CF9AE}" pid="16" name="MSIP_Label_d9088468-0951-4aef-9cc3-0a346e475ddc_ActionId">
    <vt:lpwstr>4f400035-face-4adf-ac0b-109b2a64abf0</vt:lpwstr>
  </property>
  <property fmtid="{D5CDD505-2E9C-101B-9397-08002B2CF9AE}" pid="17" name="MSIP_Label_d9088468-0951-4aef-9cc3-0a346e475ddc_ContentBits">
    <vt:lpwstr>0</vt:lpwstr>
  </property>
  <property fmtid="{D5CDD505-2E9C-101B-9397-08002B2CF9AE}" pid="18" name="MediaServiceImageTags">
    <vt:lpwstr/>
  </property>
</Properties>
</file>