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10" w:type="dxa"/>
        <w:tblInd w:w="175" w:type="dxa"/>
        <w:tblBorders>
          <w:top w:val="single" w:sz="4" w:space="0" w:color="829BAD" w:themeColor="background2"/>
          <w:left w:val="single" w:sz="4" w:space="0" w:color="829BAD" w:themeColor="background2"/>
          <w:bottom w:val="single" w:sz="4" w:space="0" w:color="829BAD" w:themeColor="background2"/>
          <w:right w:val="single" w:sz="4" w:space="0" w:color="829BAD" w:themeColor="background2"/>
          <w:insideH w:val="single" w:sz="4" w:space="0" w:color="829BAD" w:themeColor="background2"/>
          <w:insideV w:val="single" w:sz="4" w:space="0" w:color="829BAD" w:themeColor="background2"/>
        </w:tblBorders>
        <w:tblLayout w:type="fixed"/>
        <w:tblCellMar>
          <w:left w:w="0" w:type="dxa"/>
          <w:right w:w="0" w:type="dxa"/>
        </w:tblCellMar>
        <w:tblLook w:val="01E0" w:firstRow="1" w:lastRow="1" w:firstColumn="1" w:lastColumn="1" w:noHBand="0" w:noVBand="0"/>
      </w:tblPr>
      <w:tblGrid>
        <w:gridCol w:w="13410"/>
      </w:tblGrid>
      <w:tr w:rsidR="00C35240" w:rsidRPr="007A2F1C" w14:paraId="000FE413" w14:textId="017DDED9" w:rsidTr="00FB38E2">
        <w:trPr>
          <w:trHeight w:val="317"/>
        </w:trPr>
        <w:tc>
          <w:tcPr>
            <w:tcW w:w="13410" w:type="dxa"/>
            <w:shd w:val="clear" w:color="auto" w:fill="829BAD" w:themeFill="background2"/>
          </w:tcPr>
          <w:p w14:paraId="54DAD34B" w14:textId="0282B7C1" w:rsidR="00C35240" w:rsidRPr="007A2F1C" w:rsidRDefault="00C35240" w:rsidP="008F6E08">
            <w:pPr>
              <w:pStyle w:val="TableParagraph"/>
              <w:spacing w:before="48" w:line="233" w:lineRule="exact"/>
              <w:ind w:left="90" w:right="181"/>
              <w:rPr>
                <w:rFonts w:asciiTheme="majorHAnsi" w:hAnsiTheme="majorHAnsi"/>
                <w:b/>
                <w:color w:val="FFFFFF" w:themeColor="accent6"/>
                <w:sz w:val="20"/>
              </w:rPr>
            </w:pPr>
            <w:bookmarkStart w:id="0" w:name="_Hlk121741115"/>
            <w:bookmarkStart w:id="1" w:name="_Hlk121741161"/>
            <w:bookmarkStart w:id="2" w:name="_Hlk146835069"/>
            <w:proofErr w:type="spellStart"/>
            <w:r>
              <w:rPr>
                <w:rFonts w:asciiTheme="majorHAnsi" w:hAnsiTheme="majorHAnsi"/>
                <w:b/>
                <w:color w:val="FFFFFF" w:themeColor="accent6"/>
                <w:sz w:val="20"/>
              </w:rPr>
              <w:t>Trascript</w:t>
            </w:r>
            <w:proofErr w:type="spellEnd"/>
          </w:p>
        </w:tc>
      </w:tr>
      <w:bookmarkEnd w:id="2"/>
      <w:tr w:rsidR="00C35240" w:rsidRPr="007A2F1C" w14:paraId="64A9BDDD" w14:textId="69E8C162" w:rsidTr="00C35240">
        <w:trPr>
          <w:cantSplit/>
          <w:trHeight w:val="1845"/>
        </w:trPr>
        <w:tc>
          <w:tcPr>
            <w:tcW w:w="13410" w:type="dxa"/>
          </w:tcPr>
          <w:p w14:paraId="5C22C2E3" w14:textId="010B0970" w:rsidR="00C35240" w:rsidRPr="007A2F1C" w:rsidRDefault="00C35240" w:rsidP="008F6E08">
            <w:pPr>
              <w:pStyle w:val="TableParagraph"/>
              <w:spacing w:before="48" w:line="276" w:lineRule="auto"/>
              <w:ind w:left="60"/>
              <w:rPr>
                <w:rFonts w:asciiTheme="majorHAnsi" w:hAnsiTheme="majorHAnsi"/>
                <w:b/>
                <w:sz w:val="20"/>
                <w:szCs w:val="20"/>
              </w:rPr>
            </w:pPr>
            <w:r w:rsidRPr="007A2F1C">
              <w:rPr>
                <w:rFonts w:asciiTheme="majorHAnsi" w:hAnsiTheme="majorHAnsi"/>
                <w:b/>
                <w:sz w:val="20"/>
                <w:szCs w:val="20"/>
              </w:rPr>
              <w:t xml:space="preserve">Redefining Care </w:t>
            </w:r>
            <w:proofErr w:type="gramStart"/>
            <w:r w:rsidRPr="007A2F1C">
              <w:rPr>
                <w:rFonts w:asciiTheme="majorHAnsi" w:hAnsiTheme="majorHAnsi"/>
                <w:b/>
                <w:sz w:val="20"/>
                <w:szCs w:val="20"/>
              </w:rPr>
              <w:t>For</w:t>
            </w:r>
            <w:proofErr w:type="gramEnd"/>
            <w:r w:rsidRPr="007A2F1C">
              <w:rPr>
                <w:rFonts w:asciiTheme="majorHAnsi" w:hAnsiTheme="majorHAnsi"/>
                <w:b/>
                <w:sz w:val="20"/>
                <w:szCs w:val="20"/>
              </w:rPr>
              <w:t xml:space="preserve"> Advanced Ovarian Cancer Patients:</w:t>
            </w:r>
          </w:p>
          <w:p w14:paraId="77C314B3" w14:textId="51775D7C" w:rsidR="00C35240" w:rsidRPr="007A2F1C" w:rsidRDefault="00C35240" w:rsidP="008F6E08">
            <w:pPr>
              <w:pStyle w:val="TableParagraph"/>
              <w:spacing w:before="48" w:line="276" w:lineRule="auto"/>
              <w:ind w:left="60"/>
              <w:rPr>
                <w:rFonts w:asciiTheme="majorHAnsi" w:hAnsiTheme="majorHAnsi"/>
                <w:b/>
                <w:sz w:val="20"/>
                <w:szCs w:val="20"/>
              </w:rPr>
            </w:pPr>
            <w:r w:rsidRPr="007A2F1C">
              <w:rPr>
                <w:rFonts w:asciiTheme="majorHAnsi" w:hAnsiTheme="majorHAnsi"/>
                <w:b/>
                <w:sz w:val="20"/>
                <w:szCs w:val="20"/>
              </w:rPr>
              <w:t>Clinical Perspectives on the Impact of SOLO-1 and PAOLA-1</w:t>
            </w:r>
          </w:p>
          <w:p w14:paraId="6ED1C869" w14:textId="1CF5071C" w:rsidR="00C35240" w:rsidRPr="007A2F1C" w:rsidRDefault="00C35240" w:rsidP="008F6E08">
            <w:pPr>
              <w:pStyle w:val="TableParagraph"/>
              <w:spacing w:before="48" w:line="276" w:lineRule="auto"/>
              <w:ind w:left="60"/>
              <w:rPr>
                <w:rFonts w:asciiTheme="majorHAnsi" w:hAnsiTheme="majorHAnsi"/>
                <w:b/>
                <w:sz w:val="20"/>
                <w:szCs w:val="20"/>
              </w:rPr>
            </w:pPr>
            <w:r w:rsidRPr="007A2F1C">
              <w:rPr>
                <w:rFonts w:asciiTheme="majorHAnsi" w:hAnsiTheme="majorHAnsi"/>
                <w:b/>
                <w:sz w:val="20"/>
                <w:szCs w:val="20"/>
              </w:rPr>
              <w:t>An Interview with Dr Bradley Monk</w:t>
            </w:r>
          </w:p>
          <w:p w14:paraId="662554E6" w14:textId="5277A39E" w:rsidR="00C35240" w:rsidRPr="007A2F1C" w:rsidRDefault="00C35240" w:rsidP="008F6E08">
            <w:pPr>
              <w:pStyle w:val="TableParagraph"/>
              <w:spacing w:before="48" w:line="276" w:lineRule="auto"/>
              <w:ind w:left="60"/>
              <w:rPr>
                <w:rFonts w:asciiTheme="majorHAnsi" w:hAnsiTheme="majorHAnsi"/>
                <w:b/>
                <w:sz w:val="20"/>
                <w:szCs w:val="20"/>
              </w:rPr>
            </w:pPr>
            <w:r w:rsidRPr="007A2F1C">
              <w:rPr>
                <w:noProof/>
              </w:rPr>
              <w:drawing>
                <wp:inline distT="0" distB="0" distL="0" distR="0" wp14:anchorId="516C1254" wp14:editId="52CCC581">
                  <wp:extent cx="1617133" cy="1617133"/>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145" cy="1623145"/>
                          </a:xfrm>
                          <a:prstGeom prst="rect">
                            <a:avLst/>
                          </a:prstGeom>
                          <a:noFill/>
                          <a:ln>
                            <a:noFill/>
                          </a:ln>
                        </pic:spPr>
                      </pic:pic>
                    </a:graphicData>
                  </a:graphic>
                </wp:inline>
              </w:drawing>
            </w:r>
          </w:p>
          <w:p w14:paraId="616D34EE" w14:textId="77777777" w:rsidR="00C35240" w:rsidRPr="007A2F1C" w:rsidRDefault="00C35240" w:rsidP="008F6E08">
            <w:pPr>
              <w:pStyle w:val="BasicParagraph"/>
              <w:suppressAutoHyphens/>
              <w:spacing w:line="240" w:lineRule="auto"/>
              <w:ind w:left="90" w:right="181"/>
              <w:rPr>
                <w:rFonts w:asciiTheme="majorHAnsi" w:hAnsiTheme="majorHAnsi"/>
                <w:bCs/>
                <w:sz w:val="20"/>
                <w:szCs w:val="20"/>
              </w:rPr>
            </w:pPr>
          </w:p>
          <w:p w14:paraId="44A8E5DA" w14:textId="0EBE1327" w:rsidR="00C35240" w:rsidRPr="007A2F1C" w:rsidRDefault="00C35240" w:rsidP="008F6E08">
            <w:pPr>
              <w:pStyle w:val="BasicParagraph"/>
              <w:suppressAutoHyphens/>
              <w:spacing w:line="240" w:lineRule="auto"/>
              <w:ind w:left="90" w:right="181"/>
              <w:rPr>
                <w:rFonts w:asciiTheme="majorHAnsi" w:hAnsiTheme="majorHAnsi"/>
                <w:bCs/>
                <w:sz w:val="20"/>
                <w:szCs w:val="20"/>
                <w:vertAlign w:val="superscript"/>
              </w:rPr>
            </w:pPr>
            <w:r w:rsidRPr="007A2F1C">
              <w:rPr>
                <w:rFonts w:asciiTheme="majorHAnsi" w:hAnsiTheme="majorHAnsi"/>
                <w:bCs/>
                <w:sz w:val="20"/>
                <w:szCs w:val="20"/>
              </w:rPr>
              <w:t>Bradley Monk, MD, FACOG, FACS is a board-certified gynecologic oncologist with Florida Cancer Specialists &amp; Research Institute and a co-founder of the GOG-Partners Foundation</w:t>
            </w:r>
            <w:r w:rsidRPr="007A2F1C">
              <w:rPr>
                <w:rFonts w:asciiTheme="majorHAnsi" w:hAnsiTheme="majorHAnsi"/>
                <w:bCs/>
                <w:sz w:val="20"/>
                <w:szCs w:val="20"/>
                <w:vertAlign w:val="superscript"/>
              </w:rPr>
              <w:t>®</w:t>
            </w:r>
          </w:p>
          <w:p w14:paraId="02B74DF4" w14:textId="77777777" w:rsidR="00C35240" w:rsidRPr="007A2F1C" w:rsidRDefault="00C35240" w:rsidP="0061574E">
            <w:pPr>
              <w:pStyle w:val="BasicParagraph"/>
              <w:suppressAutoHyphens/>
              <w:spacing w:line="240" w:lineRule="auto"/>
              <w:ind w:left="90" w:right="181"/>
              <w:rPr>
                <w:rFonts w:asciiTheme="majorHAnsi" w:hAnsiTheme="majorHAnsi"/>
                <w:bCs/>
                <w:sz w:val="20"/>
                <w:szCs w:val="20"/>
              </w:rPr>
            </w:pPr>
          </w:p>
          <w:p w14:paraId="6A990391" w14:textId="0B2AC43F" w:rsidR="00C35240" w:rsidRPr="007A2F1C" w:rsidRDefault="00C35240" w:rsidP="0061574E">
            <w:pPr>
              <w:pStyle w:val="BasicParagraph"/>
              <w:suppressAutoHyphens/>
              <w:spacing w:line="240" w:lineRule="auto"/>
              <w:ind w:left="90" w:right="181"/>
              <w:rPr>
                <w:rFonts w:asciiTheme="majorHAnsi" w:hAnsiTheme="majorHAnsi"/>
                <w:bCs/>
                <w:sz w:val="20"/>
                <w:szCs w:val="20"/>
              </w:rPr>
            </w:pPr>
            <w:r w:rsidRPr="007A2F1C">
              <w:rPr>
                <w:rFonts w:asciiTheme="majorHAnsi" w:hAnsiTheme="majorHAnsi"/>
                <w:bCs/>
                <w:sz w:val="20"/>
                <w:szCs w:val="20"/>
              </w:rPr>
              <w:t>Dr Monk has been compensated by AstraZeneca for his participation.</w:t>
            </w:r>
          </w:p>
          <w:p w14:paraId="2E5BE777" w14:textId="77777777" w:rsidR="00C35240" w:rsidRPr="007A2F1C" w:rsidRDefault="00C35240" w:rsidP="008F6E08">
            <w:pPr>
              <w:pStyle w:val="BasicParagraph"/>
              <w:suppressAutoHyphens/>
              <w:spacing w:line="240" w:lineRule="auto"/>
              <w:ind w:left="90" w:right="181"/>
              <w:rPr>
                <w:rFonts w:asciiTheme="majorHAnsi" w:hAnsiTheme="majorHAnsi"/>
                <w:bCs/>
                <w:sz w:val="20"/>
                <w:szCs w:val="20"/>
                <w:vertAlign w:val="superscript"/>
              </w:rPr>
            </w:pPr>
          </w:p>
          <w:p w14:paraId="67BDDC52" w14:textId="255EDCD6" w:rsidR="00C35240" w:rsidRPr="007E49D5" w:rsidRDefault="00C35240" w:rsidP="008F6E08">
            <w:pPr>
              <w:pStyle w:val="BasicParagraph"/>
              <w:suppressAutoHyphens/>
              <w:spacing w:line="240" w:lineRule="auto"/>
              <w:ind w:left="90" w:right="181"/>
              <w:rPr>
                <w:rFonts w:ascii="Karla" w:hAnsi="Karla" w:cs="Karla"/>
                <w:b/>
                <w:bCs/>
                <w:color w:val="041726" w:themeColor="text1"/>
                <w:sz w:val="20"/>
                <w:szCs w:val="20"/>
              </w:rPr>
            </w:pPr>
            <w:r w:rsidRPr="007E49D5">
              <w:rPr>
                <w:rFonts w:ascii="Karla" w:hAnsi="Karla" w:cs="Karla"/>
                <w:b/>
                <w:bCs/>
                <w:color w:val="041726" w:themeColor="text1"/>
                <w:sz w:val="20"/>
                <w:szCs w:val="20"/>
              </w:rPr>
              <w:t>Select Safety Information</w:t>
            </w:r>
          </w:p>
          <w:p w14:paraId="130CE061" w14:textId="77777777" w:rsidR="00C35240" w:rsidRPr="007A2F1C" w:rsidRDefault="00C35240" w:rsidP="003B0AB4">
            <w:pPr>
              <w:pStyle w:val="BasicParagraph"/>
              <w:suppressAutoHyphens/>
              <w:spacing w:line="240" w:lineRule="auto"/>
              <w:ind w:left="90" w:right="181"/>
              <w:rPr>
                <w:rFonts w:ascii="Karla" w:hAnsi="Karla" w:cs="Karla"/>
                <w:b/>
                <w:bCs/>
                <w:color w:val="041726" w:themeColor="text1"/>
                <w:sz w:val="20"/>
                <w:szCs w:val="20"/>
              </w:rPr>
            </w:pPr>
            <w:r w:rsidRPr="007A2F1C">
              <w:rPr>
                <w:rFonts w:ascii="Karla" w:hAnsi="Karla" w:cs="Karla"/>
                <w:color w:val="041726" w:themeColor="text1"/>
                <w:sz w:val="20"/>
                <w:szCs w:val="20"/>
              </w:rPr>
              <w:t>LYNPARZA is associated with serious and potentially fatal adverse events including myelodysplastic syndrome/acute myeloid leukemia (MDS/AML), pneumonitis, and venous thromboembolism (VTE). Monitor patients for signs and symptoms and discontinue LYNPARZA if MDS/AML or pneumonitis is confirmed. Monitor patients for signs and symptoms of VTE and treat as medically appropriate. LYNPARZA can cause fetal harm.</w:t>
            </w:r>
          </w:p>
          <w:p w14:paraId="7008A2EE" w14:textId="77777777" w:rsidR="00C35240" w:rsidRPr="007A2F1C" w:rsidRDefault="00C35240" w:rsidP="003B0AB4">
            <w:pPr>
              <w:pStyle w:val="BasicParagraph"/>
              <w:suppressAutoHyphens/>
              <w:spacing w:line="240" w:lineRule="auto"/>
              <w:ind w:left="90" w:right="181"/>
              <w:rPr>
                <w:rFonts w:ascii="Karla" w:hAnsi="Karla" w:cs="Karla"/>
                <w:color w:val="041726" w:themeColor="text1"/>
                <w:sz w:val="20"/>
                <w:szCs w:val="20"/>
              </w:rPr>
            </w:pPr>
          </w:p>
          <w:p w14:paraId="165F7F6C" w14:textId="7D5FA2BC" w:rsidR="00C35240" w:rsidRDefault="00C35240" w:rsidP="003B0AB4">
            <w:pPr>
              <w:pStyle w:val="BasicParagraph"/>
              <w:suppressAutoHyphens/>
              <w:spacing w:line="240" w:lineRule="auto"/>
              <w:ind w:left="90" w:right="181"/>
              <w:rPr>
                <w:rFonts w:ascii="Karla" w:hAnsi="Karla" w:cs="Karla"/>
                <w:color w:val="041726" w:themeColor="text1"/>
                <w:sz w:val="20"/>
                <w:szCs w:val="20"/>
              </w:rPr>
            </w:pPr>
            <w:r w:rsidRPr="007A2F1C">
              <w:rPr>
                <w:rFonts w:ascii="Karla" w:hAnsi="Karla" w:cs="Karla"/>
                <w:color w:val="041726" w:themeColor="text1"/>
                <w:sz w:val="20"/>
                <w:szCs w:val="20"/>
              </w:rPr>
              <w:t xml:space="preserve">Please see full Important Safety Information at the end of the video. </w:t>
            </w:r>
          </w:p>
          <w:p w14:paraId="1395853A" w14:textId="77777777" w:rsidR="00C35240" w:rsidRDefault="00C35240" w:rsidP="003B0AB4">
            <w:pPr>
              <w:pStyle w:val="BasicParagraph"/>
              <w:suppressAutoHyphens/>
              <w:spacing w:line="240" w:lineRule="auto"/>
              <w:ind w:left="90" w:right="181"/>
              <w:rPr>
                <w:rFonts w:ascii="Karla" w:hAnsi="Karla" w:cs="Karla"/>
                <w:color w:val="041726" w:themeColor="text1"/>
                <w:sz w:val="20"/>
                <w:szCs w:val="20"/>
              </w:rPr>
            </w:pPr>
          </w:p>
          <w:p w14:paraId="1BCBBF40" w14:textId="77777777" w:rsidR="00C35240" w:rsidRPr="007A2F1C" w:rsidRDefault="00C35240" w:rsidP="003B0AB4">
            <w:pPr>
              <w:pStyle w:val="BasicParagraph"/>
              <w:suppressAutoHyphens/>
              <w:spacing w:line="240" w:lineRule="auto"/>
              <w:ind w:left="90" w:right="181"/>
              <w:rPr>
                <w:rFonts w:ascii="Karla" w:hAnsi="Karla" w:cs="Karla"/>
                <w:color w:val="041726" w:themeColor="text1"/>
                <w:sz w:val="20"/>
                <w:szCs w:val="20"/>
              </w:rPr>
            </w:pPr>
          </w:p>
          <w:p w14:paraId="214FA971" w14:textId="66883958" w:rsidR="00C35240" w:rsidRPr="007A2F1C" w:rsidRDefault="00C35240" w:rsidP="008F6E08">
            <w:pPr>
              <w:pStyle w:val="BasicParagraph"/>
              <w:suppressAutoHyphens/>
              <w:spacing w:line="240" w:lineRule="auto"/>
              <w:ind w:left="90" w:right="181"/>
              <w:rPr>
                <w:rFonts w:ascii="Karla" w:hAnsi="Karla" w:cs="Karla"/>
                <w:b/>
                <w:bCs/>
                <w:color w:val="041726" w:themeColor="text1"/>
                <w:sz w:val="20"/>
                <w:szCs w:val="20"/>
              </w:rPr>
            </w:pPr>
          </w:p>
        </w:tc>
      </w:tr>
    </w:tbl>
    <w:p w14:paraId="61F8CC6B" w14:textId="77777777" w:rsidR="002D1400" w:rsidRPr="007A2F1C" w:rsidRDefault="002D1400">
      <w:r w:rsidRPr="007A2F1C">
        <w:br w:type="page"/>
      </w:r>
    </w:p>
    <w:tbl>
      <w:tblPr>
        <w:tblW w:w="13410" w:type="dxa"/>
        <w:tblInd w:w="175" w:type="dxa"/>
        <w:tblBorders>
          <w:top w:val="single" w:sz="4" w:space="0" w:color="829BAD" w:themeColor="background2"/>
          <w:left w:val="single" w:sz="4" w:space="0" w:color="829BAD" w:themeColor="background2"/>
          <w:bottom w:val="single" w:sz="4" w:space="0" w:color="829BAD" w:themeColor="background2"/>
          <w:right w:val="single" w:sz="4" w:space="0" w:color="829BAD" w:themeColor="background2"/>
          <w:insideH w:val="single" w:sz="4" w:space="0" w:color="829BAD" w:themeColor="background2"/>
          <w:insideV w:val="single" w:sz="4" w:space="0" w:color="829BAD" w:themeColor="background2"/>
        </w:tblBorders>
        <w:tblLayout w:type="fixed"/>
        <w:tblCellMar>
          <w:left w:w="0" w:type="dxa"/>
          <w:right w:w="0" w:type="dxa"/>
        </w:tblCellMar>
        <w:tblLook w:val="01E0" w:firstRow="1" w:lastRow="1" w:firstColumn="1" w:lastColumn="1" w:noHBand="0" w:noVBand="0"/>
      </w:tblPr>
      <w:tblGrid>
        <w:gridCol w:w="13410"/>
      </w:tblGrid>
      <w:tr w:rsidR="00C35240" w:rsidRPr="007A2F1C" w14:paraId="7D2D925C" w14:textId="0824098E" w:rsidTr="00C35240">
        <w:trPr>
          <w:cantSplit/>
          <w:trHeight w:val="317"/>
        </w:trPr>
        <w:tc>
          <w:tcPr>
            <w:tcW w:w="13410" w:type="dxa"/>
            <w:shd w:val="clear" w:color="auto" w:fill="829BAD" w:themeFill="background2"/>
          </w:tcPr>
          <w:p w14:paraId="68B8D5E0" w14:textId="5A9A0684" w:rsidR="00C35240" w:rsidRPr="007A2F1C" w:rsidRDefault="00C35240" w:rsidP="008F6E08">
            <w:pPr>
              <w:pStyle w:val="TableParagraph"/>
              <w:spacing w:before="48" w:line="233" w:lineRule="exact"/>
              <w:ind w:left="60"/>
              <w:rPr>
                <w:rFonts w:asciiTheme="majorHAnsi" w:hAnsiTheme="majorHAnsi"/>
                <w:b/>
                <w:sz w:val="20"/>
              </w:rPr>
            </w:pPr>
            <w:r w:rsidRPr="007A2F1C">
              <w:rPr>
                <w:rFonts w:asciiTheme="majorHAnsi" w:hAnsiTheme="majorHAnsi"/>
                <w:b/>
                <w:color w:val="FFFFFF" w:themeColor="accent6"/>
                <w:sz w:val="20"/>
              </w:rPr>
              <w:lastRenderedPageBreak/>
              <w:t>Screen 1</w:t>
            </w:r>
          </w:p>
        </w:tc>
      </w:tr>
      <w:tr w:rsidR="00C35240" w:rsidRPr="007A2F1C" w14:paraId="54ECCD16" w14:textId="35D34BEB" w:rsidTr="00C35240">
        <w:trPr>
          <w:cantSplit/>
          <w:trHeight w:val="990"/>
        </w:trPr>
        <w:tc>
          <w:tcPr>
            <w:tcW w:w="13410" w:type="dxa"/>
            <w:shd w:val="clear" w:color="auto" w:fill="auto"/>
          </w:tcPr>
          <w:p w14:paraId="0DCB75FB" w14:textId="77777777" w:rsidR="00C35240" w:rsidRDefault="00C35240" w:rsidP="008F6E08">
            <w:pPr>
              <w:pStyle w:val="BasicParagraph"/>
              <w:suppressAutoHyphens/>
              <w:spacing w:line="240" w:lineRule="auto"/>
              <w:ind w:left="90" w:right="181"/>
              <w:rPr>
                <w:rFonts w:ascii="Karla" w:hAnsi="Karla" w:cs="Karla"/>
                <w:color w:val="041726" w:themeColor="text1"/>
                <w:sz w:val="20"/>
                <w:szCs w:val="20"/>
              </w:rPr>
            </w:pPr>
            <w:r w:rsidRPr="0014507D">
              <w:rPr>
                <w:rFonts w:ascii="Karla" w:hAnsi="Karla" w:cs="Karla"/>
                <w:color w:val="041726" w:themeColor="text1"/>
                <w:sz w:val="20"/>
                <w:szCs w:val="20"/>
              </w:rPr>
              <w:t xml:space="preserve">Greetings and welcome. My name is Brad Monk and I'm a gynecologic oncologist here in West Palm Beach, Florida. I spent the better of my adult life trying to learn about maintenance treatment, keeping patients in remission, because the risk of recurrence, particularly in ovarian cancer, is very high. We're here to celebrate the </w:t>
            </w:r>
            <w:proofErr w:type="gramStart"/>
            <w:r w:rsidRPr="0014507D">
              <w:rPr>
                <w:rFonts w:ascii="Karla" w:hAnsi="Karla" w:cs="Karla"/>
                <w:color w:val="041726" w:themeColor="text1"/>
                <w:sz w:val="20"/>
                <w:szCs w:val="20"/>
              </w:rPr>
              <w:t>10 year</w:t>
            </w:r>
            <w:proofErr w:type="gramEnd"/>
            <w:r w:rsidRPr="0014507D">
              <w:rPr>
                <w:rFonts w:ascii="Karla" w:hAnsi="Karla" w:cs="Karla"/>
                <w:color w:val="041726" w:themeColor="text1"/>
                <w:sz w:val="20"/>
                <w:szCs w:val="20"/>
              </w:rPr>
              <w:t xml:space="preserve"> evolution of what </w:t>
            </w:r>
            <w:proofErr w:type="spellStart"/>
            <w:r w:rsidRPr="0014507D">
              <w:rPr>
                <w:rFonts w:ascii="Karla" w:hAnsi="Karla" w:cs="Karla"/>
                <w:color w:val="041726" w:themeColor="text1"/>
                <w:sz w:val="20"/>
                <w:szCs w:val="20"/>
              </w:rPr>
              <w:t>olaparib</w:t>
            </w:r>
            <w:proofErr w:type="spellEnd"/>
            <w:r w:rsidRPr="0014507D">
              <w:rPr>
                <w:rFonts w:ascii="Karla" w:hAnsi="Karla" w:cs="Karla"/>
                <w:color w:val="041726" w:themeColor="text1"/>
                <w:sz w:val="20"/>
                <w:szCs w:val="20"/>
              </w:rPr>
              <w:t xml:space="preserve"> has achieved for patients. More than being active in four tumor types, ovarian, breast, pancreatic, and prostate, it has helped patients.</w:t>
            </w:r>
          </w:p>
          <w:p w14:paraId="7307EE0C" w14:textId="45C9E6EF" w:rsidR="00CE1524" w:rsidRPr="00CE1524" w:rsidRDefault="00CE1524" w:rsidP="008F6E08">
            <w:pPr>
              <w:pStyle w:val="BasicParagraph"/>
              <w:suppressAutoHyphens/>
              <w:spacing w:line="240" w:lineRule="auto"/>
              <w:ind w:left="90" w:right="181"/>
              <w:rPr>
                <w:rFonts w:ascii="Karla" w:hAnsi="Karla" w:cs="Karla"/>
                <w:color w:val="041726" w:themeColor="text1"/>
                <w:sz w:val="10"/>
                <w:szCs w:val="10"/>
              </w:rPr>
            </w:pPr>
          </w:p>
        </w:tc>
      </w:tr>
      <w:tr w:rsidR="00C35240" w:rsidRPr="007A2F1C" w14:paraId="06004600" w14:textId="541C7BE0" w:rsidTr="00C35240">
        <w:trPr>
          <w:cantSplit/>
          <w:trHeight w:val="317"/>
        </w:trPr>
        <w:tc>
          <w:tcPr>
            <w:tcW w:w="13410" w:type="dxa"/>
            <w:shd w:val="clear" w:color="auto" w:fill="829BAD" w:themeFill="background2"/>
            <w:vAlign w:val="center"/>
          </w:tcPr>
          <w:p w14:paraId="08E9A305" w14:textId="179CDA36" w:rsidR="00C35240" w:rsidRPr="007A2F1C" w:rsidRDefault="00C35240" w:rsidP="001D2E4C">
            <w:pPr>
              <w:pStyle w:val="TableParagraph"/>
              <w:spacing w:before="48" w:line="233" w:lineRule="exact"/>
              <w:ind w:left="60"/>
              <w:rPr>
                <w:rFonts w:asciiTheme="majorHAnsi" w:hAnsiTheme="majorHAnsi"/>
                <w:b/>
                <w:color w:val="FFFFFF" w:themeColor="accent6"/>
                <w:sz w:val="20"/>
              </w:rPr>
            </w:pPr>
            <w:r w:rsidRPr="007A2F1C">
              <w:rPr>
                <w:rFonts w:asciiTheme="majorHAnsi" w:hAnsiTheme="majorHAnsi"/>
                <w:b/>
                <w:color w:val="FFFFFF" w:themeColor="accent6"/>
                <w:sz w:val="20"/>
              </w:rPr>
              <w:t>Screen 2</w:t>
            </w:r>
          </w:p>
        </w:tc>
      </w:tr>
      <w:tr w:rsidR="00C35240" w:rsidRPr="007A2F1C" w14:paraId="1C2961C9" w14:textId="35C8B89A" w:rsidTr="00C35240">
        <w:trPr>
          <w:cantSplit/>
          <w:trHeight w:val="567"/>
        </w:trPr>
        <w:tc>
          <w:tcPr>
            <w:tcW w:w="13410" w:type="dxa"/>
            <w:shd w:val="clear" w:color="auto" w:fill="auto"/>
          </w:tcPr>
          <w:p w14:paraId="4C8C2E1D" w14:textId="77777777" w:rsidR="00C35240" w:rsidRDefault="00C35240" w:rsidP="0096374B">
            <w:pPr>
              <w:pStyle w:val="TableParagraph"/>
              <w:spacing w:before="48"/>
              <w:ind w:left="60"/>
              <w:rPr>
                <w:rFonts w:ascii="Karla" w:hAnsi="Karla" w:cs="Karla"/>
                <w:color w:val="FF0000"/>
                <w:sz w:val="20"/>
                <w:szCs w:val="20"/>
              </w:rPr>
            </w:pPr>
            <w:r w:rsidRPr="0014507D">
              <w:rPr>
                <w:rFonts w:ascii="Karla" w:hAnsi="Karla" w:cs="Karla"/>
                <w:color w:val="041726" w:themeColor="text1"/>
                <w:sz w:val="20"/>
                <w:szCs w:val="20"/>
              </w:rPr>
              <w:t xml:space="preserve">In 1991, Dr. Mary Claire King coined the term breast cancer 1, or </w:t>
            </w:r>
            <w:r w:rsidRPr="0014507D">
              <w:rPr>
                <w:rFonts w:ascii="Karla" w:hAnsi="Karla" w:cs="Karla"/>
                <w:i/>
                <w:iCs/>
                <w:color w:val="041726" w:themeColor="text1"/>
                <w:sz w:val="20"/>
                <w:szCs w:val="20"/>
              </w:rPr>
              <w:t>BRCA1</w:t>
            </w:r>
            <w:r w:rsidRPr="0014507D">
              <w:rPr>
                <w:rFonts w:ascii="Karla" w:hAnsi="Karla" w:cs="Karla"/>
                <w:color w:val="041726" w:themeColor="text1"/>
                <w:sz w:val="20"/>
                <w:szCs w:val="20"/>
              </w:rPr>
              <w:t xml:space="preserve">, for what was the hypothetical gene. And then in February 1994, the location and sequence of the </w:t>
            </w:r>
            <w:r w:rsidRPr="0014507D">
              <w:rPr>
                <w:rFonts w:ascii="Karla" w:hAnsi="Karla" w:cs="Karla"/>
                <w:i/>
                <w:iCs/>
                <w:color w:val="041726" w:themeColor="text1"/>
                <w:sz w:val="20"/>
                <w:szCs w:val="20"/>
              </w:rPr>
              <w:t>BRCA1</w:t>
            </w:r>
            <w:r w:rsidRPr="0014507D">
              <w:rPr>
                <w:rFonts w:ascii="Karla" w:hAnsi="Karla" w:cs="Karla"/>
                <w:color w:val="041726" w:themeColor="text1"/>
                <w:sz w:val="20"/>
                <w:szCs w:val="20"/>
              </w:rPr>
              <w:t xml:space="preserve"> gene was reported. And then in September, in 1994, the </w:t>
            </w:r>
            <w:r w:rsidRPr="0014507D">
              <w:rPr>
                <w:rFonts w:ascii="Karla" w:hAnsi="Karla" w:cs="Karla"/>
                <w:i/>
                <w:iCs/>
                <w:color w:val="041726" w:themeColor="text1"/>
                <w:sz w:val="20"/>
                <w:szCs w:val="20"/>
              </w:rPr>
              <w:t>BRCA2</w:t>
            </w:r>
            <w:r w:rsidRPr="0014507D">
              <w:rPr>
                <w:rFonts w:ascii="Karla" w:hAnsi="Karla" w:cs="Karla"/>
                <w:color w:val="041726" w:themeColor="text1"/>
                <w:sz w:val="20"/>
                <w:szCs w:val="20"/>
              </w:rPr>
              <w:t xml:space="preserve"> gene was identified and located</w:t>
            </w:r>
            <w:r w:rsidRPr="007A2F1C">
              <w:rPr>
                <w:rFonts w:ascii="Karla" w:hAnsi="Karla" w:cs="Karla"/>
                <w:color w:val="041726" w:themeColor="text1"/>
                <w:sz w:val="20"/>
                <w:szCs w:val="20"/>
              </w:rPr>
              <w:t>.</w:t>
            </w:r>
            <w:r w:rsidRPr="007A2F1C">
              <w:rPr>
                <w:rFonts w:ascii="Karla" w:hAnsi="Karla" w:cs="Karla"/>
                <w:color w:val="041726" w:themeColor="text1"/>
                <w:sz w:val="20"/>
                <w:szCs w:val="20"/>
                <w:vertAlign w:val="superscript"/>
              </w:rPr>
              <w:t>2</w:t>
            </w:r>
            <w:r w:rsidRPr="007A2F1C">
              <w:rPr>
                <w:rFonts w:ascii="Karla" w:hAnsi="Karla" w:cs="Karla"/>
                <w:color w:val="FF0000"/>
                <w:sz w:val="20"/>
                <w:szCs w:val="20"/>
              </w:rPr>
              <w:t xml:space="preserve"> </w:t>
            </w:r>
          </w:p>
          <w:p w14:paraId="538A3495" w14:textId="134B417C" w:rsidR="00CE1524" w:rsidRPr="00CE1524" w:rsidRDefault="00CE1524" w:rsidP="0096374B">
            <w:pPr>
              <w:pStyle w:val="TableParagraph"/>
              <w:spacing w:before="48"/>
              <w:ind w:left="60"/>
              <w:rPr>
                <w:rFonts w:asciiTheme="majorHAnsi" w:hAnsiTheme="majorHAnsi"/>
                <w:b/>
                <w:noProof/>
                <w:sz w:val="10"/>
                <w:szCs w:val="10"/>
              </w:rPr>
            </w:pPr>
          </w:p>
        </w:tc>
      </w:tr>
      <w:tr w:rsidR="00C35240" w:rsidRPr="007A2F1C" w14:paraId="69E01F1C" w14:textId="7BC8A4DD" w:rsidTr="00C35240">
        <w:trPr>
          <w:cantSplit/>
          <w:trHeight w:val="317"/>
        </w:trPr>
        <w:tc>
          <w:tcPr>
            <w:tcW w:w="13410" w:type="dxa"/>
            <w:shd w:val="clear" w:color="auto" w:fill="829BAD" w:themeFill="background2"/>
            <w:vAlign w:val="center"/>
          </w:tcPr>
          <w:p w14:paraId="3D9741B5" w14:textId="59EB9194" w:rsidR="00C35240" w:rsidRPr="007A2F1C" w:rsidRDefault="0014507D" w:rsidP="001D2E4C">
            <w:pPr>
              <w:pStyle w:val="TableParagraph"/>
              <w:spacing w:before="48" w:line="276" w:lineRule="auto"/>
              <w:ind w:left="60"/>
              <w:rPr>
                <w:rFonts w:asciiTheme="majorHAnsi" w:hAnsiTheme="majorHAnsi"/>
                <w:b/>
                <w:noProof/>
                <w:color w:val="FFFFFF" w:themeColor="accent6"/>
                <w:sz w:val="20"/>
              </w:rPr>
            </w:pPr>
            <w:r>
              <w:br w:type="page"/>
            </w:r>
            <w:r w:rsidR="00C35240" w:rsidRPr="007A2F1C">
              <w:rPr>
                <w:rFonts w:asciiTheme="majorHAnsi" w:hAnsiTheme="majorHAnsi"/>
                <w:b/>
                <w:color w:val="FFFFFF" w:themeColor="accent6"/>
                <w:sz w:val="20"/>
              </w:rPr>
              <w:t>Screen 3</w:t>
            </w:r>
          </w:p>
        </w:tc>
      </w:tr>
      <w:tr w:rsidR="00C35240" w:rsidRPr="007A2F1C" w14:paraId="48072EED" w14:textId="0227A932" w:rsidTr="00C35240">
        <w:trPr>
          <w:cantSplit/>
          <w:trHeight w:val="828"/>
        </w:trPr>
        <w:tc>
          <w:tcPr>
            <w:tcW w:w="13410" w:type="dxa"/>
            <w:shd w:val="clear" w:color="auto" w:fill="auto"/>
            <w:vAlign w:val="center"/>
          </w:tcPr>
          <w:p w14:paraId="68847445" w14:textId="77777777" w:rsidR="00C35240" w:rsidRDefault="00C35240" w:rsidP="0096374B">
            <w:pPr>
              <w:pStyle w:val="TableParagraph"/>
              <w:spacing w:before="48"/>
              <w:ind w:left="60"/>
              <w:rPr>
                <w:rFonts w:asciiTheme="majorHAnsi" w:hAnsiTheme="majorHAnsi" w:cs="Arial"/>
                <w:sz w:val="20"/>
                <w:szCs w:val="20"/>
                <w:vertAlign w:val="superscript"/>
              </w:rPr>
            </w:pPr>
            <w:r w:rsidRPr="0014507D">
              <w:rPr>
                <w:rFonts w:asciiTheme="majorHAnsi" w:hAnsiTheme="majorHAnsi" w:cs="Arial"/>
                <w:sz w:val="20"/>
                <w:szCs w:val="20"/>
              </w:rPr>
              <w:t xml:space="preserve">The first pivotal observation was in 2009, a phase 1 study published in the New England Journal of Medicine, showing that </w:t>
            </w:r>
            <w:proofErr w:type="spellStart"/>
            <w:r w:rsidRPr="0014507D">
              <w:rPr>
                <w:rFonts w:asciiTheme="majorHAnsi" w:hAnsiTheme="majorHAnsi" w:cs="Arial"/>
                <w:sz w:val="20"/>
                <w:szCs w:val="20"/>
              </w:rPr>
              <w:t>olaparib</w:t>
            </w:r>
            <w:proofErr w:type="spellEnd"/>
            <w:r w:rsidRPr="0014507D">
              <w:rPr>
                <w:rFonts w:asciiTheme="majorHAnsi" w:hAnsiTheme="majorHAnsi" w:cs="Arial"/>
                <w:sz w:val="20"/>
                <w:szCs w:val="20"/>
              </w:rPr>
              <w:t xml:space="preserve">, an oral poly ADP-ribose polymerase inhibitor, or PARP inhibitor, had activity in </w:t>
            </w:r>
            <w:r w:rsidRPr="0014507D">
              <w:rPr>
                <w:rFonts w:asciiTheme="majorHAnsi" w:hAnsiTheme="majorHAnsi" w:cs="Arial"/>
                <w:i/>
                <w:iCs/>
                <w:sz w:val="20"/>
                <w:szCs w:val="20"/>
              </w:rPr>
              <w:t>BRCA</w:t>
            </w:r>
            <w:r w:rsidRPr="0014507D">
              <w:rPr>
                <w:rFonts w:asciiTheme="majorHAnsi" w:hAnsiTheme="majorHAnsi" w:cs="Arial"/>
                <w:sz w:val="20"/>
                <w:szCs w:val="20"/>
              </w:rPr>
              <w:t>-associated cancers</w:t>
            </w:r>
            <w:r w:rsidRPr="007A2F1C">
              <w:rPr>
                <w:rFonts w:asciiTheme="majorHAnsi" w:hAnsiTheme="majorHAnsi" w:cs="Arial"/>
                <w:sz w:val="20"/>
                <w:szCs w:val="20"/>
              </w:rPr>
              <w:t>.</w:t>
            </w:r>
            <w:r w:rsidRPr="007A2F1C">
              <w:rPr>
                <w:rFonts w:asciiTheme="majorHAnsi" w:hAnsiTheme="majorHAnsi" w:cs="Arial"/>
                <w:sz w:val="20"/>
                <w:szCs w:val="20"/>
                <w:vertAlign w:val="superscript"/>
              </w:rPr>
              <w:t>3</w:t>
            </w:r>
            <w:r w:rsidRPr="007A2F1C">
              <w:rPr>
                <w:rFonts w:asciiTheme="majorHAnsi" w:hAnsiTheme="majorHAnsi" w:cs="Arial"/>
                <w:color w:val="FF0000"/>
                <w:sz w:val="20"/>
                <w:szCs w:val="20"/>
                <w:vertAlign w:val="superscript"/>
              </w:rPr>
              <w:t xml:space="preserve"> </w:t>
            </w:r>
            <w:r w:rsidRPr="0014507D">
              <w:rPr>
                <w:rFonts w:asciiTheme="majorHAnsi" w:hAnsiTheme="majorHAnsi" w:cs="Arial"/>
                <w:sz w:val="20"/>
                <w:szCs w:val="20"/>
              </w:rPr>
              <w:t xml:space="preserve">We continued. That wasn't enough. More studies continued looking at </w:t>
            </w:r>
            <w:proofErr w:type="spellStart"/>
            <w:r w:rsidRPr="0014507D">
              <w:rPr>
                <w:rFonts w:asciiTheme="majorHAnsi" w:hAnsiTheme="majorHAnsi" w:cs="Arial"/>
                <w:sz w:val="20"/>
                <w:szCs w:val="20"/>
              </w:rPr>
              <w:t>olaparib</w:t>
            </w:r>
            <w:proofErr w:type="spellEnd"/>
            <w:r w:rsidRPr="0014507D">
              <w:rPr>
                <w:rFonts w:asciiTheme="majorHAnsi" w:hAnsiTheme="majorHAnsi" w:cs="Arial"/>
                <w:sz w:val="20"/>
                <w:szCs w:val="20"/>
              </w:rPr>
              <w:t xml:space="preserve"> until we broke through in 2014 with FDA approval</w:t>
            </w:r>
            <w:r w:rsidRPr="007A2F1C">
              <w:rPr>
                <w:rFonts w:asciiTheme="majorHAnsi" w:hAnsiTheme="majorHAnsi" w:cs="Arial"/>
                <w:sz w:val="20"/>
                <w:szCs w:val="20"/>
              </w:rPr>
              <w:t>.</w:t>
            </w:r>
            <w:r w:rsidRPr="007A2F1C">
              <w:rPr>
                <w:rFonts w:asciiTheme="majorHAnsi" w:hAnsiTheme="majorHAnsi" w:cs="Arial"/>
                <w:sz w:val="20"/>
                <w:szCs w:val="20"/>
                <w:vertAlign w:val="superscript"/>
              </w:rPr>
              <w:t>4</w:t>
            </w:r>
          </w:p>
          <w:p w14:paraId="56165E4C" w14:textId="508EA5B8" w:rsidR="00CE1524" w:rsidRPr="00CE1524" w:rsidRDefault="00CE1524" w:rsidP="0096374B">
            <w:pPr>
              <w:pStyle w:val="TableParagraph"/>
              <w:spacing w:before="48"/>
              <w:ind w:left="60"/>
              <w:rPr>
                <w:rFonts w:asciiTheme="majorHAnsi" w:hAnsiTheme="majorHAnsi"/>
                <w:b/>
                <w:noProof/>
                <w:color w:val="FFFFFF" w:themeColor="accent6"/>
                <w:sz w:val="10"/>
                <w:szCs w:val="10"/>
              </w:rPr>
            </w:pPr>
          </w:p>
        </w:tc>
      </w:tr>
      <w:tr w:rsidR="00C35240" w:rsidRPr="007A2F1C" w14:paraId="192461F8" w14:textId="7E2E9FD4" w:rsidTr="00C35240">
        <w:trPr>
          <w:cantSplit/>
          <w:trHeight w:val="317"/>
        </w:trPr>
        <w:tc>
          <w:tcPr>
            <w:tcW w:w="13410" w:type="dxa"/>
            <w:shd w:val="clear" w:color="auto" w:fill="829BAD" w:themeFill="background2"/>
          </w:tcPr>
          <w:p w14:paraId="1A909FB3" w14:textId="2D6B212D" w:rsidR="00C35240" w:rsidRPr="007A2F1C" w:rsidRDefault="00C35240" w:rsidP="008F6E08">
            <w:pPr>
              <w:pStyle w:val="TableParagraph"/>
              <w:spacing w:before="48" w:line="276" w:lineRule="auto"/>
              <w:ind w:left="60"/>
              <w:rPr>
                <w:rFonts w:asciiTheme="majorHAnsi" w:hAnsiTheme="majorHAnsi"/>
                <w:b/>
                <w:noProof/>
                <w:color w:val="FFFFFF" w:themeColor="accent6"/>
                <w:sz w:val="20"/>
              </w:rPr>
            </w:pPr>
            <w:r w:rsidRPr="007A2F1C">
              <w:rPr>
                <w:rFonts w:asciiTheme="majorHAnsi" w:hAnsiTheme="majorHAnsi"/>
                <w:b/>
                <w:color w:val="FFFFFF" w:themeColor="accent6"/>
                <w:sz w:val="20"/>
              </w:rPr>
              <w:t>Screen 4</w:t>
            </w:r>
          </w:p>
        </w:tc>
      </w:tr>
      <w:tr w:rsidR="00C35240" w:rsidRPr="007A2F1C" w14:paraId="247C7952" w14:textId="4077885D" w:rsidTr="00C35240">
        <w:trPr>
          <w:cantSplit/>
          <w:trHeight w:val="297"/>
        </w:trPr>
        <w:tc>
          <w:tcPr>
            <w:tcW w:w="13410" w:type="dxa"/>
            <w:shd w:val="clear" w:color="auto" w:fill="auto"/>
          </w:tcPr>
          <w:p w14:paraId="4A05D274" w14:textId="77777777" w:rsidR="00C35240" w:rsidRDefault="00C35240" w:rsidP="00C35240">
            <w:pPr>
              <w:pStyle w:val="TableParagraph"/>
              <w:spacing w:before="48"/>
              <w:ind w:left="60"/>
              <w:rPr>
                <w:rFonts w:asciiTheme="majorHAnsi" w:hAnsiTheme="majorHAnsi" w:cs="Arial"/>
                <w:sz w:val="20"/>
                <w:szCs w:val="20"/>
                <w:vertAlign w:val="superscript"/>
              </w:rPr>
            </w:pPr>
            <w:r w:rsidRPr="0014507D">
              <w:rPr>
                <w:rFonts w:asciiTheme="majorHAnsi" w:hAnsiTheme="majorHAnsi" w:cs="Arial"/>
                <w:sz w:val="20"/>
                <w:szCs w:val="20"/>
              </w:rPr>
              <w:t xml:space="preserve">And that's why we're here. </w:t>
            </w:r>
            <w:proofErr w:type="gramStart"/>
            <w:r w:rsidRPr="0014507D">
              <w:rPr>
                <w:rFonts w:asciiTheme="majorHAnsi" w:hAnsiTheme="majorHAnsi" w:cs="Arial"/>
                <w:sz w:val="20"/>
                <w:szCs w:val="20"/>
              </w:rPr>
              <w:t>Ten year</w:t>
            </w:r>
            <w:proofErr w:type="gramEnd"/>
            <w:r w:rsidRPr="0014507D">
              <w:rPr>
                <w:rFonts w:asciiTheme="majorHAnsi" w:hAnsiTheme="majorHAnsi" w:cs="Arial"/>
                <w:sz w:val="20"/>
                <w:szCs w:val="20"/>
              </w:rPr>
              <w:t xml:space="preserve"> celebration from 2014 to 2024. Celebrating the FDA approval of </w:t>
            </w:r>
            <w:proofErr w:type="spellStart"/>
            <w:r w:rsidRPr="0014507D">
              <w:rPr>
                <w:rFonts w:asciiTheme="majorHAnsi" w:hAnsiTheme="majorHAnsi" w:cs="Arial"/>
                <w:sz w:val="20"/>
                <w:szCs w:val="20"/>
              </w:rPr>
              <w:t>olaparib</w:t>
            </w:r>
            <w:proofErr w:type="spellEnd"/>
            <w:r w:rsidRPr="0014507D">
              <w:rPr>
                <w:rFonts w:asciiTheme="majorHAnsi" w:hAnsiTheme="majorHAnsi" w:cs="Arial"/>
                <w:sz w:val="20"/>
                <w:szCs w:val="20"/>
              </w:rPr>
              <w:t xml:space="preserve"> for a specific type of ovarian cancer</w:t>
            </w:r>
            <w:r w:rsidRPr="007A2F1C">
              <w:rPr>
                <w:rFonts w:asciiTheme="majorHAnsi" w:hAnsiTheme="majorHAnsi" w:cs="Arial"/>
                <w:sz w:val="20"/>
                <w:szCs w:val="20"/>
              </w:rPr>
              <w:t>.</w:t>
            </w:r>
            <w:r w:rsidRPr="00C35240">
              <w:rPr>
                <w:rFonts w:asciiTheme="majorHAnsi" w:hAnsiTheme="majorHAnsi" w:cs="Arial"/>
                <w:sz w:val="20"/>
                <w:szCs w:val="20"/>
                <w:vertAlign w:val="superscript"/>
              </w:rPr>
              <w:t>4</w:t>
            </w:r>
          </w:p>
          <w:p w14:paraId="23CF1C12" w14:textId="5C677CB0" w:rsidR="00CE1524" w:rsidRPr="00CE1524" w:rsidRDefault="00CE1524" w:rsidP="00CE1524">
            <w:pPr>
              <w:pStyle w:val="TableParagraph"/>
              <w:tabs>
                <w:tab w:val="left" w:pos="4400"/>
              </w:tabs>
              <w:spacing w:before="48"/>
              <w:ind w:left="60"/>
              <w:rPr>
                <w:rFonts w:asciiTheme="majorHAnsi" w:hAnsiTheme="majorHAnsi" w:cs="Arial"/>
                <w:sz w:val="10"/>
                <w:szCs w:val="10"/>
              </w:rPr>
            </w:pPr>
            <w:r>
              <w:rPr>
                <w:rFonts w:asciiTheme="majorHAnsi" w:hAnsiTheme="majorHAnsi" w:cs="Arial"/>
                <w:sz w:val="20"/>
                <w:szCs w:val="20"/>
              </w:rPr>
              <w:tab/>
            </w:r>
          </w:p>
        </w:tc>
      </w:tr>
      <w:tr w:rsidR="00C35240" w:rsidRPr="007A2F1C" w14:paraId="3B5FAB96" w14:textId="43ACB0A6" w:rsidTr="00C35240">
        <w:trPr>
          <w:cantSplit/>
          <w:trHeight w:val="317"/>
        </w:trPr>
        <w:tc>
          <w:tcPr>
            <w:tcW w:w="13410" w:type="dxa"/>
            <w:shd w:val="clear" w:color="auto" w:fill="829BAD" w:themeFill="background2"/>
          </w:tcPr>
          <w:p w14:paraId="64D4004C" w14:textId="4AC25AA4" w:rsidR="00C35240" w:rsidRPr="007A2F1C" w:rsidRDefault="00C35240" w:rsidP="008F6E08">
            <w:pPr>
              <w:pStyle w:val="TableParagraph"/>
              <w:spacing w:before="48" w:line="276" w:lineRule="auto"/>
              <w:ind w:left="60"/>
              <w:rPr>
                <w:rFonts w:asciiTheme="majorHAnsi" w:hAnsiTheme="majorHAnsi"/>
                <w:b/>
                <w:noProof/>
                <w:color w:val="FFFFFF" w:themeColor="accent6"/>
                <w:sz w:val="20"/>
              </w:rPr>
            </w:pPr>
            <w:r w:rsidRPr="007A2F1C">
              <w:rPr>
                <w:rFonts w:asciiTheme="majorHAnsi" w:hAnsiTheme="majorHAnsi"/>
                <w:b/>
                <w:color w:val="FFFFFF" w:themeColor="accent6"/>
                <w:sz w:val="20"/>
              </w:rPr>
              <w:t>Screen 5</w:t>
            </w:r>
          </w:p>
        </w:tc>
      </w:tr>
      <w:tr w:rsidR="00C35240" w:rsidRPr="007A2F1C" w14:paraId="64C26994" w14:textId="032DF081" w:rsidTr="00C35240">
        <w:trPr>
          <w:cantSplit/>
          <w:trHeight w:val="1278"/>
        </w:trPr>
        <w:tc>
          <w:tcPr>
            <w:tcW w:w="13410" w:type="dxa"/>
            <w:shd w:val="clear" w:color="auto" w:fill="auto"/>
          </w:tcPr>
          <w:p w14:paraId="39BEB1DB" w14:textId="77777777" w:rsidR="00C35240" w:rsidRDefault="00C35240" w:rsidP="00CC02B0">
            <w:pPr>
              <w:pStyle w:val="TableParagraph"/>
              <w:spacing w:before="48"/>
              <w:ind w:left="60"/>
              <w:rPr>
                <w:rFonts w:asciiTheme="majorHAnsi" w:hAnsiTheme="majorHAnsi" w:cs="Arial"/>
                <w:color w:val="FF0000"/>
                <w:sz w:val="20"/>
                <w:szCs w:val="20"/>
                <w:vertAlign w:val="superscript"/>
              </w:rPr>
            </w:pPr>
            <w:r w:rsidRPr="0014507D">
              <w:rPr>
                <w:rFonts w:asciiTheme="majorHAnsi" w:hAnsiTheme="majorHAnsi" w:cs="Arial"/>
                <w:sz w:val="20"/>
                <w:szCs w:val="20"/>
              </w:rPr>
              <w:t>The next milestone was SOLO-1. This was the third trial that we had done within the GOG</w:t>
            </w:r>
            <w:r w:rsidRPr="007A2F1C">
              <w:rPr>
                <w:rFonts w:asciiTheme="majorHAnsi" w:hAnsiTheme="majorHAnsi" w:cs="Arial"/>
                <w:sz w:val="20"/>
                <w:szCs w:val="20"/>
              </w:rPr>
              <w:t>.</w:t>
            </w:r>
            <w:r w:rsidRPr="007A2F1C">
              <w:rPr>
                <w:rFonts w:asciiTheme="majorHAnsi" w:hAnsiTheme="majorHAnsi" w:cs="Arial"/>
                <w:sz w:val="20"/>
                <w:szCs w:val="20"/>
                <w:vertAlign w:val="superscript"/>
              </w:rPr>
              <w:t>5</w:t>
            </w:r>
            <w:r w:rsidRPr="007A2F1C">
              <w:rPr>
                <w:rFonts w:asciiTheme="majorHAnsi" w:hAnsiTheme="majorHAnsi" w:cs="Arial"/>
                <w:color w:val="FF0000"/>
                <w:sz w:val="20"/>
                <w:szCs w:val="20"/>
                <w:vertAlign w:val="superscript"/>
              </w:rPr>
              <w:t xml:space="preserve"> </w:t>
            </w:r>
          </w:p>
          <w:p w14:paraId="4430C382" w14:textId="77777777" w:rsidR="00C35240" w:rsidRDefault="00C35240" w:rsidP="00CC02B0">
            <w:pPr>
              <w:pStyle w:val="TableParagraph"/>
              <w:spacing w:before="48"/>
              <w:ind w:left="60"/>
              <w:rPr>
                <w:rFonts w:asciiTheme="majorHAnsi" w:hAnsiTheme="majorHAnsi" w:cs="Arial"/>
                <w:sz w:val="20"/>
                <w:szCs w:val="20"/>
                <w:vertAlign w:val="superscript"/>
              </w:rPr>
            </w:pPr>
            <w:r w:rsidRPr="0014507D">
              <w:rPr>
                <w:rFonts w:asciiTheme="majorHAnsi" w:hAnsiTheme="majorHAnsi" w:cs="Arial"/>
                <w:sz w:val="20"/>
                <w:szCs w:val="20"/>
              </w:rPr>
              <w:t xml:space="preserve">This was a study that enrolled 391 patients with newly diagnosed advanced ovarian cancer with a </w:t>
            </w:r>
            <w:r w:rsidRPr="0014507D">
              <w:rPr>
                <w:rFonts w:asciiTheme="majorHAnsi" w:hAnsiTheme="majorHAnsi" w:cs="Arial"/>
                <w:i/>
                <w:iCs/>
                <w:sz w:val="20"/>
                <w:szCs w:val="20"/>
              </w:rPr>
              <w:t>BRCA</w:t>
            </w:r>
            <w:r w:rsidRPr="0014507D">
              <w:rPr>
                <w:rFonts w:asciiTheme="majorHAnsi" w:hAnsiTheme="majorHAnsi" w:cs="Arial"/>
                <w:sz w:val="20"/>
                <w:szCs w:val="20"/>
              </w:rPr>
              <w:t xml:space="preserve"> mutation who responded to platinum with either a complete or partial response in the first line. Based on the statistically significant improvement in </w:t>
            </w:r>
            <w:proofErr w:type="gramStart"/>
            <w:r w:rsidRPr="0014507D">
              <w:rPr>
                <w:rFonts w:asciiTheme="majorHAnsi" w:hAnsiTheme="majorHAnsi" w:cs="Arial"/>
                <w:sz w:val="20"/>
                <w:szCs w:val="20"/>
              </w:rPr>
              <w:t>investigator initiated</w:t>
            </w:r>
            <w:proofErr w:type="gramEnd"/>
            <w:r w:rsidRPr="0014507D">
              <w:rPr>
                <w:rFonts w:asciiTheme="majorHAnsi" w:hAnsiTheme="majorHAnsi" w:cs="Arial"/>
                <w:sz w:val="20"/>
                <w:szCs w:val="20"/>
              </w:rPr>
              <w:t xml:space="preserve"> progression free survival or death for LYNPARZA compared to placebo, SOLO1 ultimately led to the next FDA approval in December 2018 in this setting, a first line maintenance treatment of </w:t>
            </w:r>
            <w:r w:rsidRPr="0014507D">
              <w:rPr>
                <w:rFonts w:asciiTheme="majorHAnsi" w:hAnsiTheme="majorHAnsi" w:cs="Arial"/>
                <w:i/>
                <w:iCs/>
                <w:sz w:val="20"/>
                <w:szCs w:val="20"/>
              </w:rPr>
              <w:t>BRCA</w:t>
            </w:r>
            <w:r w:rsidRPr="0014507D">
              <w:rPr>
                <w:rFonts w:asciiTheme="majorHAnsi" w:hAnsiTheme="majorHAnsi" w:cs="Arial"/>
                <w:sz w:val="20"/>
                <w:szCs w:val="20"/>
              </w:rPr>
              <w:t>-associated mutated ovarian cancers</w:t>
            </w:r>
            <w:r w:rsidRPr="007A2F1C">
              <w:rPr>
                <w:rFonts w:asciiTheme="majorHAnsi" w:hAnsiTheme="majorHAnsi" w:cs="Arial"/>
                <w:sz w:val="20"/>
                <w:szCs w:val="20"/>
              </w:rPr>
              <w:t>.</w:t>
            </w:r>
            <w:r w:rsidRPr="007A2F1C">
              <w:rPr>
                <w:rFonts w:asciiTheme="majorHAnsi" w:hAnsiTheme="majorHAnsi" w:cs="Arial"/>
                <w:sz w:val="20"/>
                <w:szCs w:val="20"/>
                <w:vertAlign w:val="superscript"/>
              </w:rPr>
              <w:t>1,6</w:t>
            </w:r>
          </w:p>
          <w:p w14:paraId="604671FB" w14:textId="62443E5A" w:rsidR="00CE1524" w:rsidRPr="00CE1524" w:rsidRDefault="00CE1524" w:rsidP="00CC02B0">
            <w:pPr>
              <w:pStyle w:val="TableParagraph"/>
              <w:spacing w:before="48"/>
              <w:ind w:left="60"/>
              <w:rPr>
                <w:rFonts w:asciiTheme="majorHAnsi" w:hAnsiTheme="majorHAnsi"/>
                <w:b/>
                <w:noProof/>
                <w:color w:val="FFFFFF" w:themeColor="accent6"/>
                <w:sz w:val="10"/>
                <w:szCs w:val="10"/>
              </w:rPr>
            </w:pPr>
          </w:p>
        </w:tc>
      </w:tr>
      <w:tr w:rsidR="00C35240" w:rsidRPr="007A2F1C" w14:paraId="516F1A70" w14:textId="77777777" w:rsidTr="00C35240">
        <w:trPr>
          <w:cantSplit/>
          <w:trHeight w:val="317"/>
        </w:trPr>
        <w:tc>
          <w:tcPr>
            <w:tcW w:w="13410" w:type="dxa"/>
            <w:shd w:val="clear" w:color="auto" w:fill="829BAD" w:themeFill="background2"/>
          </w:tcPr>
          <w:p w14:paraId="10F5EA00" w14:textId="367B0EEF" w:rsidR="00C35240" w:rsidRPr="007A2F1C" w:rsidRDefault="00C35240" w:rsidP="001316B0">
            <w:pPr>
              <w:pStyle w:val="BasicParagraph"/>
              <w:suppressAutoHyphens/>
              <w:spacing w:line="240" w:lineRule="auto"/>
              <w:ind w:left="90" w:right="181"/>
              <w:rPr>
                <w:rFonts w:ascii="Karla" w:hAnsi="Karla" w:cs="Karla"/>
                <w:b/>
                <w:bCs/>
                <w:color w:val="041726" w:themeColor="text1"/>
                <w:sz w:val="20"/>
                <w:szCs w:val="20"/>
              </w:rPr>
            </w:pPr>
            <w:r w:rsidRPr="007A2F1C">
              <w:rPr>
                <w:rFonts w:asciiTheme="majorHAnsi" w:hAnsiTheme="majorHAnsi"/>
                <w:b/>
                <w:color w:val="FFFFFF" w:themeColor="accent6"/>
                <w:sz w:val="20"/>
              </w:rPr>
              <w:t>Screen 6</w:t>
            </w:r>
          </w:p>
        </w:tc>
      </w:tr>
      <w:tr w:rsidR="00C35240" w:rsidRPr="007A2F1C" w14:paraId="5FD5AD8F" w14:textId="77777777" w:rsidTr="00C35240">
        <w:trPr>
          <w:cantSplit/>
          <w:trHeight w:val="317"/>
        </w:trPr>
        <w:tc>
          <w:tcPr>
            <w:tcW w:w="13410" w:type="dxa"/>
            <w:shd w:val="clear" w:color="auto" w:fill="auto"/>
          </w:tcPr>
          <w:p w14:paraId="46B85BDC" w14:textId="77777777" w:rsidR="00C35240" w:rsidRDefault="00C35240" w:rsidP="003C2F34">
            <w:pPr>
              <w:pStyle w:val="BasicParagraph"/>
              <w:suppressAutoHyphens/>
              <w:spacing w:line="240" w:lineRule="auto"/>
              <w:ind w:left="90" w:right="181"/>
              <w:rPr>
                <w:rFonts w:asciiTheme="majorHAnsi" w:hAnsiTheme="majorHAnsi" w:cs="Arial"/>
                <w:color w:val="auto"/>
                <w:sz w:val="20"/>
                <w:szCs w:val="20"/>
                <w:vertAlign w:val="superscript"/>
              </w:rPr>
            </w:pPr>
            <w:r w:rsidRPr="0014507D">
              <w:rPr>
                <w:rFonts w:asciiTheme="majorHAnsi" w:hAnsiTheme="majorHAnsi" w:cs="Arial"/>
                <w:sz w:val="20"/>
                <w:szCs w:val="20"/>
              </w:rPr>
              <w:t>The post hoc five year, now more mature, progression free survival showed that the primary endpoint in SOLO-1 was approximately 4.7 years with LYNPARZA compared to 1.2 years with placebo, with a hazard ratio of 0.33. That's a 67 percent reduction</w:t>
            </w:r>
            <w:r w:rsidRPr="007A2F1C">
              <w:rPr>
                <w:rFonts w:asciiTheme="majorHAnsi" w:hAnsiTheme="majorHAnsi" w:cs="Arial"/>
                <w:sz w:val="20"/>
                <w:szCs w:val="20"/>
              </w:rPr>
              <w:t>.</w:t>
            </w:r>
            <w:r w:rsidRPr="007A2F1C">
              <w:rPr>
                <w:rFonts w:asciiTheme="majorHAnsi" w:hAnsiTheme="majorHAnsi" w:cs="Arial"/>
                <w:color w:val="auto"/>
                <w:sz w:val="20"/>
                <w:szCs w:val="20"/>
                <w:vertAlign w:val="superscript"/>
              </w:rPr>
              <w:t>7</w:t>
            </w:r>
          </w:p>
          <w:p w14:paraId="2672A2A8" w14:textId="5339C947" w:rsidR="00CE1524" w:rsidRPr="00CE1524" w:rsidRDefault="00CE1524" w:rsidP="003C2F34">
            <w:pPr>
              <w:pStyle w:val="BasicParagraph"/>
              <w:suppressAutoHyphens/>
              <w:spacing w:line="240" w:lineRule="auto"/>
              <w:ind w:left="90" w:right="181"/>
              <w:rPr>
                <w:rFonts w:ascii="Karla" w:hAnsi="Karla" w:cs="Karla"/>
                <w:b/>
                <w:bCs/>
                <w:color w:val="041726" w:themeColor="text1"/>
                <w:sz w:val="10"/>
                <w:szCs w:val="10"/>
              </w:rPr>
            </w:pPr>
          </w:p>
        </w:tc>
      </w:tr>
      <w:tr w:rsidR="00C35240" w:rsidRPr="007A2F1C" w14:paraId="0D0EAB07" w14:textId="77777777" w:rsidTr="00C35240">
        <w:trPr>
          <w:cantSplit/>
          <w:trHeight w:val="317"/>
        </w:trPr>
        <w:tc>
          <w:tcPr>
            <w:tcW w:w="13410" w:type="dxa"/>
            <w:shd w:val="clear" w:color="auto" w:fill="829BAD" w:themeFill="background2"/>
          </w:tcPr>
          <w:p w14:paraId="1FA0F751" w14:textId="5B85A1DE" w:rsidR="00C35240" w:rsidRPr="007A2F1C" w:rsidRDefault="00C35240" w:rsidP="001316B0">
            <w:pPr>
              <w:pStyle w:val="BasicParagraph"/>
              <w:suppressAutoHyphens/>
              <w:spacing w:line="240" w:lineRule="auto"/>
              <w:ind w:left="90" w:right="181"/>
              <w:rPr>
                <w:rFonts w:ascii="Karla" w:hAnsi="Karla" w:cs="Karla"/>
                <w:b/>
                <w:bCs/>
                <w:color w:val="041726" w:themeColor="text1"/>
                <w:sz w:val="20"/>
                <w:szCs w:val="20"/>
              </w:rPr>
            </w:pPr>
            <w:r w:rsidRPr="007A2F1C">
              <w:rPr>
                <w:rFonts w:asciiTheme="majorHAnsi" w:hAnsiTheme="majorHAnsi"/>
                <w:b/>
                <w:color w:val="FFFFFF" w:themeColor="accent6"/>
                <w:sz w:val="20"/>
              </w:rPr>
              <w:t>Screen 7</w:t>
            </w:r>
          </w:p>
        </w:tc>
      </w:tr>
      <w:tr w:rsidR="00C35240" w:rsidRPr="007A2F1C" w14:paraId="06761221" w14:textId="77777777" w:rsidTr="00C35240">
        <w:trPr>
          <w:cantSplit/>
          <w:trHeight w:val="317"/>
        </w:trPr>
        <w:tc>
          <w:tcPr>
            <w:tcW w:w="13410" w:type="dxa"/>
            <w:shd w:val="clear" w:color="auto" w:fill="auto"/>
          </w:tcPr>
          <w:p w14:paraId="5024FA9B" w14:textId="77777777" w:rsidR="00C35240" w:rsidRDefault="00C35240" w:rsidP="00C35240">
            <w:pPr>
              <w:spacing w:after="0" w:line="240" w:lineRule="auto"/>
              <w:ind w:left="92"/>
              <w:rPr>
                <w:rFonts w:asciiTheme="majorHAnsi" w:hAnsiTheme="majorHAnsi" w:cs="Arial"/>
                <w:color w:val="FF0000"/>
                <w:sz w:val="20"/>
                <w:szCs w:val="20"/>
                <w:vertAlign w:val="superscript"/>
              </w:rPr>
            </w:pPr>
            <w:r w:rsidRPr="0014507D">
              <w:rPr>
                <w:rFonts w:asciiTheme="majorHAnsi" w:hAnsiTheme="majorHAnsi" w:cs="Arial"/>
                <w:sz w:val="20"/>
                <w:szCs w:val="20"/>
              </w:rPr>
              <w:t xml:space="preserve">At the </w:t>
            </w:r>
            <w:proofErr w:type="gramStart"/>
            <w:r w:rsidRPr="0014507D">
              <w:rPr>
                <w:rFonts w:asciiTheme="majorHAnsi" w:hAnsiTheme="majorHAnsi" w:cs="Arial"/>
                <w:sz w:val="20"/>
                <w:szCs w:val="20"/>
              </w:rPr>
              <w:t>seven year</w:t>
            </w:r>
            <w:proofErr w:type="gramEnd"/>
            <w:r w:rsidRPr="0014507D">
              <w:rPr>
                <w:rFonts w:asciiTheme="majorHAnsi" w:hAnsiTheme="majorHAnsi" w:cs="Arial"/>
                <w:sz w:val="20"/>
                <w:szCs w:val="20"/>
              </w:rPr>
              <w:t xml:space="preserve"> interim overall survival follow up of SOLO-1, 67 percent of patients on LYNPARZA were alive versus 47 percent with placebo, with a hazard ratio for survival of 0.55</w:t>
            </w:r>
            <w:r w:rsidRPr="007A2F1C">
              <w:rPr>
                <w:rFonts w:asciiTheme="majorHAnsi" w:hAnsiTheme="majorHAnsi" w:cs="Arial"/>
                <w:sz w:val="20"/>
                <w:szCs w:val="20"/>
              </w:rPr>
              <w:t>.</w:t>
            </w:r>
            <w:r w:rsidRPr="007A2F1C">
              <w:rPr>
                <w:rFonts w:asciiTheme="majorHAnsi" w:hAnsiTheme="majorHAnsi" w:cs="Arial"/>
                <w:sz w:val="20"/>
                <w:szCs w:val="20"/>
                <w:vertAlign w:val="superscript"/>
              </w:rPr>
              <w:t>8</w:t>
            </w:r>
            <w:r w:rsidRPr="007A2F1C">
              <w:rPr>
                <w:rFonts w:asciiTheme="majorHAnsi" w:hAnsiTheme="majorHAnsi" w:cs="Arial"/>
                <w:color w:val="FF0000"/>
                <w:sz w:val="20"/>
                <w:szCs w:val="20"/>
                <w:vertAlign w:val="superscript"/>
              </w:rPr>
              <w:t xml:space="preserve"> </w:t>
            </w:r>
          </w:p>
          <w:p w14:paraId="0BBA7A8A" w14:textId="6BA3DF17" w:rsidR="00CE1524" w:rsidRPr="00CE1524" w:rsidRDefault="00CE1524" w:rsidP="00C35240">
            <w:pPr>
              <w:spacing w:after="0" w:line="240" w:lineRule="auto"/>
              <w:ind w:left="92"/>
              <w:rPr>
                <w:rFonts w:asciiTheme="majorHAnsi" w:hAnsiTheme="majorHAnsi" w:cs="Arial"/>
                <w:sz w:val="10"/>
                <w:szCs w:val="10"/>
              </w:rPr>
            </w:pPr>
          </w:p>
        </w:tc>
      </w:tr>
      <w:tr w:rsidR="00C35240" w:rsidRPr="007A2F1C" w14:paraId="7DB4B5C2" w14:textId="2F50DD3D" w:rsidTr="00C35240">
        <w:trPr>
          <w:cantSplit/>
          <w:trHeight w:val="317"/>
        </w:trPr>
        <w:tc>
          <w:tcPr>
            <w:tcW w:w="13410" w:type="dxa"/>
            <w:shd w:val="clear" w:color="auto" w:fill="829BAD" w:themeFill="background2"/>
          </w:tcPr>
          <w:p w14:paraId="1CDC7262" w14:textId="34D6A62C" w:rsidR="00C35240" w:rsidRPr="007A2F1C" w:rsidRDefault="00C35240" w:rsidP="008F6E08">
            <w:pPr>
              <w:pStyle w:val="TableParagraph"/>
              <w:spacing w:before="48" w:line="276" w:lineRule="auto"/>
              <w:ind w:left="0"/>
              <w:rPr>
                <w:rFonts w:asciiTheme="majorHAnsi" w:hAnsiTheme="majorHAnsi"/>
                <w:b/>
                <w:noProof/>
                <w:color w:val="FFFFFF" w:themeColor="accent6"/>
                <w:sz w:val="20"/>
              </w:rPr>
            </w:pPr>
            <w:r w:rsidRPr="007A2F1C">
              <w:rPr>
                <w:rFonts w:asciiTheme="majorHAnsi" w:hAnsiTheme="majorHAnsi"/>
                <w:b/>
                <w:color w:val="FFFFFF" w:themeColor="accent6"/>
                <w:sz w:val="20"/>
              </w:rPr>
              <w:t>Screen 8</w:t>
            </w:r>
          </w:p>
        </w:tc>
      </w:tr>
      <w:tr w:rsidR="00C35240" w:rsidRPr="007A2F1C" w14:paraId="34E0E576" w14:textId="7195A5FB" w:rsidTr="00C35240">
        <w:trPr>
          <w:cantSplit/>
          <w:trHeight w:val="603"/>
        </w:trPr>
        <w:tc>
          <w:tcPr>
            <w:tcW w:w="13410" w:type="dxa"/>
            <w:shd w:val="clear" w:color="auto" w:fill="auto"/>
          </w:tcPr>
          <w:p w14:paraId="1075805A" w14:textId="77777777" w:rsidR="00C35240" w:rsidRDefault="00C35240" w:rsidP="0096374B">
            <w:pPr>
              <w:pStyle w:val="TableParagraph"/>
              <w:spacing w:before="48"/>
              <w:ind w:left="60"/>
              <w:rPr>
                <w:rFonts w:asciiTheme="majorHAnsi" w:hAnsiTheme="majorHAnsi" w:cs="Arial"/>
                <w:sz w:val="20"/>
                <w:szCs w:val="20"/>
                <w:vertAlign w:val="superscript"/>
              </w:rPr>
            </w:pPr>
            <w:r w:rsidRPr="00420A2E">
              <w:rPr>
                <w:rFonts w:asciiTheme="majorHAnsi" w:hAnsiTheme="majorHAnsi" w:cs="Arial"/>
                <w:sz w:val="20"/>
                <w:szCs w:val="20"/>
              </w:rPr>
              <w:t xml:space="preserve">Now earlier that year, also in 2018, the treatment of newly diagnosed advanced ovarian cancer had changed with the FDA approval of bevacizumab in combination with chemotherapy followed in maintenance based on another GOG trial, GOG 2018, published in the New England Journal by Robert Berger. There's another study, a confirmatory trial called ICON7, authored by Tim </w:t>
            </w:r>
            <w:proofErr w:type="spellStart"/>
            <w:r w:rsidRPr="00420A2E">
              <w:rPr>
                <w:rFonts w:asciiTheme="majorHAnsi" w:hAnsiTheme="majorHAnsi" w:cs="Arial"/>
                <w:sz w:val="20"/>
                <w:szCs w:val="20"/>
              </w:rPr>
              <w:t>Perren</w:t>
            </w:r>
            <w:proofErr w:type="spellEnd"/>
            <w:r w:rsidRPr="00420A2E">
              <w:rPr>
                <w:rFonts w:asciiTheme="majorHAnsi" w:hAnsiTheme="majorHAnsi" w:cs="Arial"/>
                <w:sz w:val="20"/>
                <w:szCs w:val="20"/>
              </w:rPr>
              <w:t>, published in the same issue of the New England Journal of Medicine</w:t>
            </w:r>
            <w:r w:rsidRPr="007A2F1C">
              <w:rPr>
                <w:rFonts w:asciiTheme="majorHAnsi" w:hAnsiTheme="majorHAnsi" w:cs="Arial"/>
                <w:sz w:val="20"/>
                <w:szCs w:val="20"/>
              </w:rPr>
              <w:t>.</w:t>
            </w:r>
            <w:r w:rsidRPr="007A2F1C">
              <w:rPr>
                <w:rFonts w:asciiTheme="majorHAnsi" w:hAnsiTheme="majorHAnsi" w:cs="Arial"/>
                <w:sz w:val="20"/>
                <w:szCs w:val="20"/>
                <w:vertAlign w:val="superscript"/>
              </w:rPr>
              <w:t>9-</w:t>
            </w:r>
            <w:proofErr w:type="gramStart"/>
            <w:r w:rsidRPr="007A2F1C">
              <w:rPr>
                <w:rFonts w:asciiTheme="majorHAnsi" w:hAnsiTheme="majorHAnsi" w:cs="Arial"/>
                <w:sz w:val="20"/>
                <w:szCs w:val="20"/>
                <w:vertAlign w:val="superscript"/>
              </w:rPr>
              <w:t>11</w:t>
            </w:r>
            <w:proofErr w:type="gramEnd"/>
          </w:p>
          <w:p w14:paraId="101BD8F3" w14:textId="77777777" w:rsidR="00CE1524" w:rsidRDefault="00CE1524" w:rsidP="0096374B">
            <w:pPr>
              <w:pStyle w:val="TableParagraph"/>
              <w:spacing w:before="48"/>
              <w:ind w:left="60"/>
              <w:rPr>
                <w:rFonts w:asciiTheme="majorHAnsi" w:hAnsiTheme="majorHAnsi" w:cs="Arial"/>
                <w:sz w:val="10"/>
                <w:szCs w:val="10"/>
              </w:rPr>
            </w:pPr>
          </w:p>
          <w:p w14:paraId="21A40A4C" w14:textId="77777777" w:rsidR="00CE1524" w:rsidRDefault="00CE1524" w:rsidP="0096374B">
            <w:pPr>
              <w:pStyle w:val="TableParagraph"/>
              <w:spacing w:before="48"/>
              <w:ind w:left="60"/>
              <w:rPr>
                <w:rFonts w:asciiTheme="majorHAnsi" w:hAnsiTheme="majorHAnsi" w:cs="Arial"/>
                <w:sz w:val="10"/>
                <w:szCs w:val="10"/>
              </w:rPr>
            </w:pPr>
          </w:p>
          <w:p w14:paraId="18ADDC86" w14:textId="601692D9" w:rsidR="00CE1524" w:rsidRPr="00CE1524" w:rsidRDefault="00CE1524" w:rsidP="0096374B">
            <w:pPr>
              <w:pStyle w:val="TableParagraph"/>
              <w:spacing w:before="48"/>
              <w:ind w:left="60"/>
              <w:rPr>
                <w:rFonts w:asciiTheme="majorHAnsi" w:hAnsiTheme="majorHAnsi" w:cs="Arial"/>
                <w:sz w:val="10"/>
                <w:szCs w:val="10"/>
              </w:rPr>
            </w:pPr>
          </w:p>
        </w:tc>
      </w:tr>
      <w:tr w:rsidR="00C35240" w:rsidRPr="007A2F1C" w14:paraId="6A333D12" w14:textId="42841013" w:rsidTr="00C35240">
        <w:trPr>
          <w:cantSplit/>
          <w:trHeight w:val="317"/>
        </w:trPr>
        <w:tc>
          <w:tcPr>
            <w:tcW w:w="13410" w:type="dxa"/>
            <w:shd w:val="clear" w:color="auto" w:fill="829BAD" w:themeFill="background2"/>
          </w:tcPr>
          <w:p w14:paraId="06B3FCAF" w14:textId="1FEE37CC" w:rsidR="00C35240" w:rsidRPr="007A2F1C" w:rsidRDefault="00C35240" w:rsidP="008F6E08">
            <w:pPr>
              <w:pStyle w:val="TableParagraph"/>
              <w:spacing w:before="48" w:line="276" w:lineRule="auto"/>
              <w:ind w:left="60"/>
              <w:rPr>
                <w:rFonts w:asciiTheme="majorHAnsi" w:hAnsiTheme="majorHAnsi"/>
                <w:b/>
                <w:color w:val="FFFFFF" w:themeColor="accent6"/>
                <w:sz w:val="20"/>
              </w:rPr>
            </w:pPr>
            <w:r w:rsidRPr="007A2F1C">
              <w:rPr>
                <w:rFonts w:asciiTheme="majorHAnsi" w:hAnsiTheme="majorHAnsi"/>
                <w:b/>
                <w:color w:val="FFFFFF" w:themeColor="accent6"/>
                <w:sz w:val="20"/>
              </w:rPr>
              <w:lastRenderedPageBreak/>
              <w:t>Screen 9</w:t>
            </w:r>
          </w:p>
        </w:tc>
      </w:tr>
      <w:tr w:rsidR="00C35240" w:rsidRPr="007A2F1C" w14:paraId="29E49B1F" w14:textId="703948A1" w:rsidTr="00C35240">
        <w:trPr>
          <w:cantSplit/>
          <w:trHeight w:val="317"/>
        </w:trPr>
        <w:tc>
          <w:tcPr>
            <w:tcW w:w="13410" w:type="dxa"/>
            <w:shd w:val="clear" w:color="auto" w:fill="auto"/>
          </w:tcPr>
          <w:p w14:paraId="41DBABDA" w14:textId="77777777" w:rsidR="00C35240" w:rsidRDefault="00C35240" w:rsidP="006B367B">
            <w:pPr>
              <w:pStyle w:val="TableParagraph"/>
              <w:spacing w:before="48"/>
              <w:ind w:left="60"/>
              <w:rPr>
                <w:rFonts w:asciiTheme="majorHAnsi" w:hAnsiTheme="majorHAnsi" w:cs="Arial"/>
                <w:sz w:val="20"/>
                <w:szCs w:val="20"/>
                <w:vertAlign w:val="superscript"/>
              </w:rPr>
            </w:pPr>
            <w:r w:rsidRPr="00420A2E">
              <w:rPr>
                <w:rFonts w:asciiTheme="majorHAnsi" w:hAnsiTheme="majorHAnsi" w:cs="Arial"/>
                <w:sz w:val="20"/>
                <w:szCs w:val="20"/>
              </w:rPr>
              <w:t xml:space="preserve">So, in the timeline of the development of ovarian cancer treatments, the first novel agent was paclitaxel, dating way back to 1992. The second was bevacizumab, approved in the front line in 2018. And then the third was </w:t>
            </w:r>
            <w:proofErr w:type="spellStart"/>
            <w:r w:rsidRPr="00420A2E">
              <w:rPr>
                <w:rFonts w:asciiTheme="majorHAnsi" w:hAnsiTheme="majorHAnsi" w:cs="Arial"/>
                <w:sz w:val="20"/>
                <w:szCs w:val="20"/>
              </w:rPr>
              <w:t>olaparib</w:t>
            </w:r>
            <w:proofErr w:type="spellEnd"/>
            <w:r w:rsidRPr="00420A2E">
              <w:rPr>
                <w:rFonts w:asciiTheme="majorHAnsi" w:hAnsiTheme="majorHAnsi" w:cs="Arial"/>
                <w:sz w:val="20"/>
                <w:szCs w:val="20"/>
              </w:rPr>
              <w:t xml:space="preserve">. Olaparib was approved for the maintenance treatment of </w:t>
            </w:r>
            <w:r w:rsidRPr="00420A2E">
              <w:rPr>
                <w:rFonts w:asciiTheme="majorHAnsi" w:hAnsiTheme="majorHAnsi" w:cs="Arial"/>
                <w:i/>
                <w:iCs/>
                <w:sz w:val="20"/>
                <w:szCs w:val="20"/>
              </w:rPr>
              <w:t>BRCA</w:t>
            </w:r>
            <w:r w:rsidRPr="00420A2E">
              <w:rPr>
                <w:rFonts w:asciiTheme="majorHAnsi" w:hAnsiTheme="majorHAnsi" w:cs="Arial"/>
                <w:sz w:val="20"/>
                <w:szCs w:val="20"/>
              </w:rPr>
              <w:t xml:space="preserve">-associated cancers in December of 2018. And number four, the combination of bevacizumab plus </w:t>
            </w:r>
            <w:proofErr w:type="spellStart"/>
            <w:r w:rsidRPr="00420A2E">
              <w:rPr>
                <w:rFonts w:asciiTheme="majorHAnsi" w:hAnsiTheme="majorHAnsi" w:cs="Arial"/>
                <w:sz w:val="20"/>
                <w:szCs w:val="20"/>
              </w:rPr>
              <w:t>olaparib</w:t>
            </w:r>
            <w:proofErr w:type="spellEnd"/>
            <w:r w:rsidRPr="00420A2E">
              <w:rPr>
                <w:rFonts w:asciiTheme="majorHAnsi" w:hAnsiTheme="majorHAnsi" w:cs="Arial"/>
                <w:sz w:val="20"/>
                <w:szCs w:val="20"/>
              </w:rPr>
              <w:t xml:space="preserve"> in the maintenance phase in HRD-positive patients, approved in May of 2020</w:t>
            </w:r>
            <w:r w:rsidRPr="007A2F1C">
              <w:rPr>
                <w:rFonts w:asciiTheme="majorHAnsi" w:hAnsiTheme="majorHAnsi" w:cs="Arial"/>
                <w:sz w:val="20"/>
                <w:szCs w:val="20"/>
              </w:rPr>
              <w:t>.</w:t>
            </w:r>
            <w:r w:rsidRPr="007A2F1C">
              <w:rPr>
                <w:rFonts w:asciiTheme="majorHAnsi" w:hAnsiTheme="majorHAnsi" w:cs="Arial"/>
                <w:sz w:val="20"/>
                <w:szCs w:val="20"/>
                <w:vertAlign w:val="superscript"/>
              </w:rPr>
              <w:t>9,12-</w:t>
            </w:r>
            <w:proofErr w:type="gramStart"/>
            <w:r w:rsidRPr="007A2F1C">
              <w:rPr>
                <w:rFonts w:asciiTheme="majorHAnsi" w:hAnsiTheme="majorHAnsi" w:cs="Arial"/>
                <w:sz w:val="20"/>
                <w:szCs w:val="20"/>
                <w:vertAlign w:val="superscript"/>
              </w:rPr>
              <w:t>14</w:t>
            </w:r>
            <w:proofErr w:type="gramEnd"/>
          </w:p>
          <w:p w14:paraId="4ABAC723" w14:textId="0BD841D2" w:rsidR="00CE1524" w:rsidRPr="00CE1524" w:rsidRDefault="00CE1524" w:rsidP="006B367B">
            <w:pPr>
              <w:pStyle w:val="TableParagraph"/>
              <w:spacing w:before="48"/>
              <w:ind w:left="60"/>
              <w:rPr>
                <w:rFonts w:asciiTheme="majorHAnsi" w:hAnsiTheme="majorHAnsi" w:cs="Arial"/>
                <w:color w:val="FF0000"/>
                <w:sz w:val="10"/>
                <w:szCs w:val="10"/>
                <w:vertAlign w:val="superscript"/>
              </w:rPr>
            </w:pPr>
          </w:p>
        </w:tc>
      </w:tr>
      <w:tr w:rsidR="00C35240" w:rsidRPr="007A2F1C" w14:paraId="31042405" w14:textId="77777777" w:rsidTr="00C35240">
        <w:trPr>
          <w:cantSplit/>
          <w:trHeight w:val="317"/>
        </w:trPr>
        <w:tc>
          <w:tcPr>
            <w:tcW w:w="13410" w:type="dxa"/>
            <w:shd w:val="clear" w:color="auto" w:fill="829BAD" w:themeFill="background2"/>
          </w:tcPr>
          <w:p w14:paraId="3BB95DCA" w14:textId="5DC0FD22" w:rsidR="00C35240" w:rsidRPr="007A2F1C" w:rsidRDefault="008F6E08" w:rsidP="008F6E08">
            <w:pPr>
              <w:pStyle w:val="BasicParagraph"/>
              <w:suppressAutoHyphens/>
              <w:spacing w:line="240" w:lineRule="auto"/>
              <w:ind w:left="90" w:right="181"/>
              <w:rPr>
                <w:rFonts w:ascii="Karla" w:hAnsi="Karla" w:cs="Karla"/>
                <w:b/>
                <w:bCs/>
                <w:color w:val="FFFFFF" w:themeColor="accent6"/>
                <w:sz w:val="20"/>
                <w:szCs w:val="20"/>
              </w:rPr>
            </w:pPr>
            <w:r w:rsidRPr="007A2F1C">
              <w:br w:type="page"/>
            </w:r>
            <w:r w:rsidR="00C35240" w:rsidRPr="007A2F1C">
              <w:rPr>
                <w:rFonts w:asciiTheme="majorHAnsi" w:hAnsiTheme="majorHAnsi"/>
                <w:b/>
                <w:color w:val="FFFFFF" w:themeColor="accent6"/>
                <w:sz w:val="20"/>
              </w:rPr>
              <w:t>Screen 10</w:t>
            </w:r>
          </w:p>
        </w:tc>
      </w:tr>
      <w:tr w:rsidR="00C35240" w:rsidRPr="007A2F1C" w14:paraId="0FB2F71A" w14:textId="77777777" w:rsidTr="00C35240">
        <w:trPr>
          <w:cantSplit/>
          <w:trHeight w:val="810"/>
        </w:trPr>
        <w:tc>
          <w:tcPr>
            <w:tcW w:w="13410" w:type="dxa"/>
            <w:shd w:val="clear" w:color="auto" w:fill="auto"/>
          </w:tcPr>
          <w:p w14:paraId="21E735EC" w14:textId="3E3CBC62" w:rsidR="00C35240" w:rsidRPr="007A2F1C" w:rsidRDefault="00C35240" w:rsidP="008F6E08">
            <w:pPr>
              <w:pStyle w:val="BasicParagraph"/>
              <w:suppressAutoHyphens/>
              <w:spacing w:line="240" w:lineRule="auto"/>
              <w:ind w:left="90" w:right="181"/>
              <w:rPr>
                <w:rFonts w:asciiTheme="majorHAnsi" w:hAnsiTheme="majorHAnsi" w:cs="Arial"/>
                <w:color w:val="FF0000"/>
                <w:sz w:val="20"/>
                <w:szCs w:val="20"/>
                <w:vertAlign w:val="superscript"/>
              </w:rPr>
            </w:pPr>
            <w:r w:rsidRPr="00420A2E">
              <w:rPr>
                <w:rFonts w:asciiTheme="majorHAnsi" w:hAnsiTheme="majorHAnsi" w:cs="Arial"/>
                <w:sz w:val="20"/>
                <w:szCs w:val="20"/>
              </w:rPr>
              <w:t xml:space="preserve">The good news is, we can give all three of these agents together, paclitaxel, bevacizumab, continued in maintenance, and then in the maintenance phase, </w:t>
            </w:r>
            <w:proofErr w:type="spellStart"/>
            <w:r w:rsidRPr="00420A2E">
              <w:rPr>
                <w:rFonts w:asciiTheme="majorHAnsi" w:hAnsiTheme="majorHAnsi" w:cs="Arial"/>
                <w:sz w:val="20"/>
                <w:szCs w:val="20"/>
              </w:rPr>
              <w:t>olaparib</w:t>
            </w:r>
            <w:proofErr w:type="spellEnd"/>
            <w:r w:rsidRPr="00420A2E">
              <w:rPr>
                <w:rFonts w:asciiTheme="majorHAnsi" w:hAnsiTheme="majorHAnsi" w:cs="Arial"/>
                <w:sz w:val="20"/>
                <w:szCs w:val="20"/>
              </w:rPr>
              <w:t xml:space="preserve"> in the HRD-positive patients</w:t>
            </w:r>
            <w:r w:rsidRPr="007A2F1C">
              <w:rPr>
                <w:rFonts w:asciiTheme="majorHAnsi" w:hAnsiTheme="majorHAnsi" w:cs="Arial"/>
                <w:sz w:val="20"/>
                <w:szCs w:val="20"/>
              </w:rPr>
              <w:t>.</w:t>
            </w:r>
            <w:r w:rsidRPr="007A2F1C">
              <w:rPr>
                <w:rFonts w:asciiTheme="majorHAnsi" w:hAnsiTheme="majorHAnsi" w:cs="Arial"/>
                <w:sz w:val="20"/>
                <w:szCs w:val="20"/>
                <w:vertAlign w:val="superscript"/>
              </w:rPr>
              <w:t>15</w:t>
            </w:r>
          </w:p>
          <w:p w14:paraId="066FF7C5" w14:textId="3B02715A" w:rsidR="00C35240" w:rsidRPr="007A2F1C" w:rsidRDefault="00C35240" w:rsidP="008F6E08">
            <w:pPr>
              <w:pStyle w:val="BasicParagraph"/>
              <w:suppressAutoHyphens/>
              <w:spacing w:line="240" w:lineRule="auto"/>
              <w:ind w:left="90" w:right="181"/>
              <w:rPr>
                <w:rFonts w:ascii="Karla" w:hAnsi="Karla" w:cs="Karla"/>
                <w:b/>
                <w:bCs/>
                <w:color w:val="041726" w:themeColor="text1"/>
                <w:sz w:val="20"/>
                <w:szCs w:val="20"/>
              </w:rPr>
            </w:pPr>
            <w:r w:rsidRPr="00420A2E">
              <w:rPr>
                <w:rFonts w:ascii="Karla" w:hAnsi="Karla" w:cs="Karla"/>
                <w:color w:val="041726" w:themeColor="text1"/>
                <w:sz w:val="20"/>
                <w:szCs w:val="20"/>
              </w:rPr>
              <w:t xml:space="preserve">PAOLA-1 randomized patients 2 to 1 with stratification according to first-line treatment outcomes and </w:t>
            </w:r>
            <w:r w:rsidRPr="00420A2E">
              <w:rPr>
                <w:rFonts w:ascii="Karla" w:hAnsi="Karla" w:cs="Karla"/>
                <w:i/>
                <w:iCs/>
                <w:color w:val="041726" w:themeColor="text1"/>
                <w:sz w:val="20"/>
                <w:szCs w:val="20"/>
              </w:rPr>
              <w:t>BRCA</w:t>
            </w:r>
            <w:r w:rsidRPr="00420A2E">
              <w:rPr>
                <w:rFonts w:ascii="Karla" w:hAnsi="Karla" w:cs="Karla"/>
                <w:color w:val="041726" w:themeColor="text1"/>
                <w:sz w:val="20"/>
                <w:szCs w:val="20"/>
              </w:rPr>
              <w:t xml:space="preserve"> status</w:t>
            </w:r>
            <w:r w:rsidRPr="007A2F1C">
              <w:rPr>
                <w:rFonts w:ascii="Karla" w:hAnsi="Karla" w:cs="Karla"/>
                <w:color w:val="auto"/>
                <w:sz w:val="20"/>
                <w:szCs w:val="20"/>
              </w:rPr>
              <w:t>.</w:t>
            </w:r>
            <w:r w:rsidRPr="007A2F1C">
              <w:rPr>
                <w:rFonts w:asciiTheme="majorHAnsi" w:hAnsiTheme="majorHAnsi" w:cs="Arial"/>
                <w:color w:val="auto"/>
                <w:sz w:val="20"/>
                <w:szCs w:val="20"/>
                <w:vertAlign w:val="superscript"/>
              </w:rPr>
              <w:t xml:space="preserve"> 15</w:t>
            </w:r>
          </w:p>
        </w:tc>
      </w:tr>
      <w:tr w:rsidR="00C35240" w:rsidRPr="007A2F1C" w14:paraId="3431826F" w14:textId="77777777" w:rsidTr="00C35240">
        <w:trPr>
          <w:cantSplit/>
          <w:trHeight w:val="317"/>
        </w:trPr>
        <w:tc>
          <w:tcPr>
            <w:tcW w:w="13410" w:type="dxa"/>
            <w:shd w:val="clear" w:color="auto" w:fill="829BAD" w:themeFill="background2"/>
          </w:tcPr>
          <w:p w14:paraId="2DD95080" w14:textId="20AEEAB3" w:rsidR="00C35240" w:rsidRPr="007A2F1C" w:rsidRDefault="00C35240" w:rsidP="008F6E08">
            <w:pPr>
              <w:pStyle w:val="BasicParagraph"/>
              <w:suppressAutoHyphens/>
              <w:spacing w:line="240" w:lineRule="auto"/>
              <w:ind w:left="90" w:right="181"/>
              <w:rPr>
                <w:rFonts w:ascii="Karla" w:hAnsi="Karla" w:cs="Karla"/>
                <w:b/>
                <w:bCs/>
                <w:color w:val="041726" w:themeColor="text1"/>
                <w:sz w:val="20"/>
                <w:szCs w:val="20"/>
              </w:rPr>
            </w:pPr>
            <w:r>
              <w:tab/>
            </w:r>
            <w:r w:rsidRPr="007A2F1C">
              <w:rPr>
                <w:rFonts w:asciiTheme="majorHAnsi" w:hAnsiTheme="majorHAnsi"/>
                <w:b/>
                <w:color w:val="FFFFFF" w:themeColor="accent6"/>
                <w:sz w:val="20"/>
              </w:rPr>
              <w:t>Screen 11</w:t>
            </w:r>
          </w:p>
        </w:tc>
      </w:tr>
      <w:tr w:rsidR="00C35240" w:rsidRPr="007A2F1C" w14:paraId="4081A6C3" w14:textId="77777777" w:rsidTr="00C35240">
        <w:trPr>
          <w:cantSplit/>
          <w:trHeight w:val="317"/>
        </w:trPr>
        <w:tc>
          <w:tcPr>
            <w:tcW w:w="13410" w:type="dxa"/>
            <w:shd w:val="clear" w:color="auto" w:fill="auto"/>
          </w:tcPr>
          <w:p w14:paraId="4AD34F05" w14:textId="1298D277" w:rsidR="00C35240" w:rsidRPr="007A2F1C" w:rsidRDefault="00C35240" w:rsidP="00E47FA0">
            <w:pPr>
              <w:spacing w:after="0" w:line="240" w:lineRule="auto"/>
              <w:ind w:left="92"/>
              <w:rPr>
                <w:rFonts w:asciiTheme="majorHAnsi" w:hAnsiTheme="majorHAnsi" w:cs="Arial"/>
                <w:sz w:val="20"/>
                <w:szCs w:val="20"/>
              </w:rPr>
            </w:pPr>
            <w:r w:rsidRPr="00420A2E">
              <w:rPr>
                <w:rFonts w:asciiTheme="majorHAnsi" w:hAnsiTheme="majorHAnsi" w:cs="Arial"/>
                <w:sz w:val="20"/>
                <w:szCs w:val="20"/>
              </w:rPr>
              <w:t xml:space="preserve">It was an interesting study because it enrolled allcomers, not only patients with </w:t>
            </w:r>
            <w:r w:rsidRPr="00112420">
              <w:rPr>
                <w:rFonts w:asciiTheme="majorHAnsi" w:hAnsiTheme="majorHAnsi" w:cs="Arial"/>
                <w:i/>
                <w:iCs/>
                <w:sz w:val="20"/>
                <w:szCs w:val="20"/>
              </w:rPr>
              <w:t>BRCA</w:t>
            </w:r>
            <w:r w:rsidRPr="00420A2E">
              <w:rPr>
                <w:rFonts w:asciiTheme="majorHAnsi" w:hAnsiTheme="majorHAnsi" w:cs="Arial"/>
                <w:sz w:val="20"/>
                <w:szCs w:val="20"/>
              </w:rPr>
              <w:t xml:space="preserve"> mutations, but also patients who had </w:t>
            </w:r>
            <w:r w:rsidRPr="00112420">
              <w:rPr>
                <w:rFonts w:asciiTheme="majorHAnsi" w:hAnsiTheme="majorHAnsi" w:cs="Arial"/>
                <w:i/>
                <w:iCs/>
                <w:sz w:val="20"/>
                <w:szCs w:val="20"/>
              </w:rPr>
              <w:t>BRCA</w:t>
            </w:r>
            <w:r w:rsidRPr="00420A2E">
              <w:rPr>
                <w:rFonts w:asciiTheme="majorHAnsi" w:hAnsiTheme="majorHAnsi" w:cs="Arial"/>
                <w:sz w:val="20"/>
                <w:szCs w:val="20"/>
              </w:rPr>
              <w:t xml:space="preserve">-like findings, defined as homologous recombination repair deficiency, sometimes termed genomic instability. When genes such as </w:t>
            </w:r>
            <w:r w:rsidRPr="00112420">
              <w:rPr>
                <w:rFonts w:asciiTheme="majorHAnsi" w:hAnsiTheme="majorHAnsi" w:cs="Arial"/>
                <w:i/>
                <w:iCs/>
                <w:sz w:val="20"/>
                <w:szCs w:val="20"/>
              </w:rPr>
              <w:t>BRCA</w:t>
            </w:r>
            <w:r w:rsidRPr="00420A2E">
              <w:rPr>
                <w:rFonts w:asciiTheme="majorHAnsi" w:hAnsiTheme="majorHAnsi" w:cs="Arial"/>
                <w:sz w:val="20"/>
                <w:szCs w:val="20"/>
              </w:rPr>
              <w:t xml:space="preserve"> that are involved in this homologous recombination repair process are mutated, it results in changes in chromosomal structure</w:t>
            </w:r>
            <w:r w:rsidRPr="007A2F1C">
              <w:rPr>
                <w:rFonts w:asciiTheme="majorHAnsi" w:hAnsiTheme="majorHAnsi" w:cs="Arial"/>
                <w:sz w:val="20"/>
                <w:szCs w:val="20"/>
              </w:rPr>
              <w:t>.</w:t>
            </w:r>
            <w:r w:rsidRPr="007A2F1C">
              <w:rPr>
                <w:vertAlign w:val="superscript"/>
              </w:rPr>
              <w:t>16-</w:t>
            </w:r>
            <w:proofErr w:type="gramStart"/>
            <w:r w:rsidRPr="007A2F1C">
              <w:rPr>
                <w:vertAlign w:val="superscript"/>
              </w:rPr>
              <w:t>18</w:t>
            </w:r>
            <w:proofErr w:type="gramEnd"/>
          </w:p>
          <w:p w14:paraId="7EAE96F6" w14:textId="77777777" w:rsidR="00C35240" w:rsidRDefault="00C35240" w:rsidP="00E47FA0">
            <w:pPr>
              <w:spacing w:after="0" w:line="240" w:lineRule="auto"/>
              <w:ind w:left="92"/>
              <w:rPr>
                <w:rFonts w:asciiTheme="majorHAnsi" w:hAnsiTheme="majorHAnsi" w:cs="Arial"/>
                <w:sz w:val="20"/>
                <w:szCs w:val="20"/>
              </w:rPr>
            </w:pPr>
          </w:p>
          <w:p w14:paraId="34C2D6CB" w14:textId="77777777" w:rsidR="00C35240" w:rsidRDefault="00C35240" w:rsidP="00E47FA0">
            <w:pPr>
              <w:spacing w:after="0" w:line="240" w:lineRule="auto"/>
              <w:ind w:left="92"/>
              <w:rPr>
                <w:rFonts w:asciiTheme="majorHAnsi" w:hAnsiTheme="majorHAnsi" w:cs="Arial"/>
                <w:sz w:val="20"/>
                <w:szCs w:val="20"/>
                <w:vertAlign w:val="superscript"/>
              </w:rPr>
            </w:pPr>
            <w:r>
              <w:rPr>
                <w:rFonts w:asciiTheme="majorHAnsi" w:hAnsiTheme="majorHAnsi" w:cs="Arial"/>
                <w:sz w:val="20"/>
                <w:szCs w:val="20"/>
              </w:rPr>
              <w:t xml:space="preserve">In </w:t>
            </w:r>
            <w:r w:rsidRPr="00420A2E">
              <w:rPr>
                <w:rFonts w:asciiTheme="majorHAnsi" w:hAnsiTheme="majorHAnsi" w:cs="Arial"/>
                <w:sz w:val="20"/>
                <w:szCs w:val="20"/>
              </w:rPr>
              <w:t>PAOLA-1 showed that by using a biomarker such as HRD, we can interrogate the molecular signature when double stranded DNA repairs were not repaired or recombined based on the sister chromatid template</w:t>
            </w:r>
            <w:r w:rsidRPr="007A2F1C">
              <w:rPr>
                <w:rFonts w:asciiTheme="majorHAnsi" w:hAnsiTheme="majorHAnsi" w:cs="Arial"/>
                <w:sz w:val="20"/>
                <w:szCs w:val="20"/>
              </w:rPr>
              <w:t>.</w:t>
            </w:r>
            <w:r w:rsidRPr="007A2F1C">
              <w:rPr>
                <w:rFonts w:asciiTheme="majorHAnsi" w:hAnsiTheme="majorHAnsi" w:cs="Arial"/>
                <w:sz w:val="20"/>
                <w:szCs w:val="20"/>
                <w:vertAlign w:val="superscript"/>
              </w:rPr>
              <w:t>15</w:t>
            </w:r>
          </w:p>
          <w:p w14:paraId="05BD1B38" w14:textId="4A6FBDA6" w:rsidR="00CE1524" w:rsidRPr="00CE1524" w:rsidRDefault="00CE1524" w:rsidP="00E47FA0">
            <w:pPr>
              <w:spacing w:after="0" w:line="240" w:lineRule="auto"/>
              <w:ind w:left="92"/>
              <w:rPr>
                <w:rFonts w:asciiTheme="majorHAnsi" w:hAnsiTheme="majorHAnsi" w:cs="Arial"/>
                <w:sz w:val="10"/>
                <w:szCs w:val="10"/>
              </w:rPr>
            </w:pPr>
          </w:p>
        </w:tc>
      </w:tr>
      <w:tr w:rsidR="00C35240" w:rsidRPr="007A2F1C" w14:paraId="6080BFFD" w14:textId="77777777" w:rsidTr="00C35240">
        <w:trPr>
          <w:cantSplit/>
          <w:trHeight w:val="317"/>
        </w:trPr>
        <w:tc>
          <w:tcPr>
            <w:tcW w:w="13410" w:type="dxa"/>
            <w:shd w:val="clear" w:color="auto" w:fill="829BAD" w:themeFill="background2"/>
          </w:tcPr>
          <w:p w14:paraId="3F29CCAE" w14:textId="6422C6D5" w:rsidR="00C35240" w:rsidRPr="007A2F1C" w:rsidRDefault="00420A2E" w:rsidP="008F6E08">
            <w:pPr>
              <w:pStyle w:val="BasicParagraph"/>
              <w:suppressAutoHyphens/>
              <w:spacing w:line="240" w:lineRule="auto"/>
              <w:ind w:left="90" w:right="181"/>
              <w:rPr>
                <w:rFonts w:ascii="Karla" w:hAnsi="Karla" w:cs="Karla"/>
                <w:b/>
                <w:bCs/>
                <w:color w:val="041726" w:themeColor="text1"/>
                <w:sz w:val="20"/>
                <w:szCs w:val="20"/>
              </w:rPr>
            </w:pPr>
            <w:r>
              <w:br w:type="page"/>
            </w:r>
            <w:r w:rsidR="00C35240" w:rsidRPr="007A2F1C">
              <w:rPr>
                <w:rFonts w:asciiTheme="majorHAnsi" w:hAnsiTheme="majorHAnsi"/>
                <w:b/>
                <w:color w:val="FFFFFF" w:themeColor="accent6"/>
                <w:sz w:val="20"/>
              </w:rPr>
              <w:t>Screen 12</w:t>
            </w:r>
          </w:p>
        </w:tc>
      </w:tr>
      <w:tr w:rsidR="00C35240" w:rsidRPr="007A2F1C" w14:paraId="53F78C06" w14:textId="77777777" w:rsidTr="00C35240">
        <w:trPr>
          <w:cantSplit/>
          <w:trHeight w:val="2943"/>
        </w:trPr>
        <w:tc>
          <w:tcPr>
            <w:tcW w:w="13410" w:type="dxa"/>
            <w:shd w:val="clear" w:color="auto" w:fill="auto"/>
          </w:tcPr>
          <w:p w14:paraId="186E0751" w14:textId="78715862" w:rsidR="00C35240" w:rsidRPr="007A2F1C" w:rsidRDefault="00C35240" w:rsidP="008F6E08">
            <w:pPr>
              <w:spacing w:after="0" w:line="240" w:lineRule="auto"/>
              <w:ind w:left="92"/>
              <w:rPr>
                <w:rFonts w:asciiTheme="majorHAnsi" w:hAnsiTheme="majorHAnsi" w:cs="Arial"/>
                <w:sz w:val="20"/>
                <w:szCs w:val="20"/>
              </w:rPr>
            </w:pPr>
            <w:r w:rsidRPr="00420A2E">
              <w:rPr>
                <w:rFonts w:asciiTheme="majorHAnsi" w:hAnsiTheme="majorHAnsi" w:cs="Arial"/>
                <w:sz w:val="20"/>
                <w:szCs w:val="20"/>
              </w:rPr>
              <w:t xml:space="preserve">In terms of efficacy, PAOLA-1 showed that progression free survival was improved in a clinically significant way with the median progression free survival of 3.1 years with </w:t>
            </w:r>
            <w:proofErr w:type="spellStart"/>
            <w:r w:rsidRPr="00420A2E">
              <w:rPr>
                <w:rFonts w:asciiTheme="majorHAnsi" w:hAnsiTheme="majorHAnsi" w:cs="Arial"/>
                <w:sz w:val="20"/>
                <w:szCs w:val="20"/>
              </w:rPr>
              <w:t>olaparib</w:t>
            </w:r>
            <w:proofErr w:type="spellEnd"/>
            <w:r w:rsidRPr="00420A2E">
              <w:rPr>
                <w:rFonts w:asciiTheme="majorHAnsi" w:hAnsiTheme="majorHAnsi" w:cs="Arial"/>
                <w:sz w:val="20"/>
                <w:szCs w:val="20"/>
              </w:rPr>
              <w:t xml:space="preserve"> and bevacizumab versus 1.5 years with placebo and bevacizumab, with a hazard ratio of 0. 33 in the HRD-positive subgroup</w:t>
            </w:r>
            <w:r w:rsidRPr="007A2F1C">
              <w:rPr>
                <w:rFonts w:asciiTheme="majorHAnsi" w:hAnsiTheme="majorHAnsi" w:cs="Arial"/>
                <w:sz w:val="20"/>
                <w:szCs w:val="20"/>
              </w:rPr>
              <w:t>.</w:t>
            </w:r>
            <w:r w:rsidRPr="007A2F1C">
              <w:rPr>
                <w:rFonts w:asciiTheme="majorHAnsi" w:hAnsiTheme="majorHAnsi" w:cs="Arial"/>
                <w:sz w:val="20"/>
                <w:szCs w:val="20"/>
                <w:vertAlign w:val="superscript"/>
              </w:rPr>
              <w:t>15</w:t>
            </w:r>
          </w:p>
          <w:p w14:paraId="354B091C" w14:textId="77777777" w:rsidR="00C35240" w:rsidRDefault="00C35240" w:rsidP="008F6E08">
            <w:pPr>
              <w:spacing w:after="0" w:line="240" w:lineRule="auto"/>
              <w:ind w:left="92"/>
              <w:rPr>
                <w:rFonts w:asciiTheme="majorHAnsi" w:hAnsiTheme="majorHAnsi" w:cs="Arial"/>
                <w:sz w:val="20"/>
                <w:szCs w:val="20"/>
              </w:rPr>
            </w:pPr>
          </w:p>
          <w:p w14:paraId="47FCF09E" w14:textId="341B7EDC" w:rsidR="00C35240" w:rsidRPr="007A2F1C" w:rsidRDefault="00C35240" w:rsidP="008F6E08">
            <w:pPr>
              <w:spacing w:after="0" w:line="240" w:lineRule="auto"/>
              <w:ind w:left="92"/>
              <w:rPr>
                <w:rFonts w:asciiTheme="majorHAnsi" w:hAnsiTheme="majorHAnsi" w:cs="Arial"/>
                <w:color w:val="FF0000"/>
                <w:sz w:val="20"/>
                <w:szCs w:val="20"/>
                <w:vertAlign w:val="superscript"/>
              </w:rPr>
            </w:pPr>
            <w:r w:rsidRPr="00420A2E">
              <w:rPr>
                <w:rFonts w:asciiTheme="majorHAnsi" w:hAnsiTheme="majorHAnsi" w:cs="Arial"/>
                <w:sz w:val="20"/>
                <w:szCs w:val="20"/>
              </w:rPr>
              <w:t xml:space="preserve">In terms of overall survival, one of the most important endpoints in the HRD-positive subgroup, a select secondary endpoint, patients treated with LYNPARZA + bevacizumab had a </w:t>
            </w:r>
            <w:proofErr w:type="gramStart"/>
            <w:r w:rsidRPr="00420A2E">
              <w:rPr>
                <w:rFonts w:asciiTheme="majorHAnsi" w:hAnsiTheme="majorHAnsi" w:cs="Arial"/>
                <w:sz w:val="20"/>
                <w:szCs w:val="20"/>
              </w:rPr>
              <w:t>five year</w:t>
            </w:r>
            <w:proofErr w:type="gramEnd"/>
            <w:r w:rsidRPr="00420A2E">
              <w:rPr>
                <w:rFonts w:asciiTheme="majorHAnsi" w:hAnsiTheme="majorHAnsi" w:cs="Arial"/>
                <w:sz w:val="20"/>
                <w:szCs w:val="20"/>
              </w:rPr>
              <w:t xml:space="preserve"> overall survival rate of 65.5% versus 48.4% with placebo + bevacizumab. 65.5% versus 48.4% at five years</w:t>
            </w:r>
            <w:r w:rsidRPr="007A2F1C">
              <w:rPr>
                <w:rFonts w:asciiTheme="majorHAnsi" w:hAnsiTheme="majorHAnsi" w:cs="Arial"/>
                <w:sz w:val="20"/>
                <w:szCs w:val="20"/>
              </w:rPr>
              <w:t>.</w:t>
            </w:r>
            <w:r w:rsidRPr="007A2F1C">
              <w:rPr>
                <w:rFonts w:asciiTheme="majorHAnsi" w:hAnsiTheme="majorHAnsi" w:cs="Arial"/>
                <w:sz w:val="20"/>
                <w:szCs w:val="20"/>
                <w:vertAlign w:val="superscript"/>
              </w:rPr>
              <w:t>19</w:t>
            </w:r>
            <w:r w:rsidRPr="007A2F1C">
              <w:rPr>
                <w:rFonts w:asciiTheme="majorHAnsi" w:hAnsiTheme="majorHAnsi" w:cs="Arial"/>
                <w:color w:val="FF0000"/>
                <w:sz w:val="20"/>
                <w:szCs w:val="20"/>
                <w:vertAlign w:val="superscript"/>
              </w:rPr>
              <w:t xml:space="preserve"> </w:t>
            </w:r>
          </w:p>
          <w:p w14:paraId="5D9A67E9" w14:textId="77777777" w:rsidR="00C35240" w:rsidRDefault="00C35240" w:rsidP="008F6E08">
            <w:pPr>
              <w:spacing w:after="0" w:line="240" w:lineRule="auto"/>
              <w:ind w:left="92"/>
              <w:rPr>
                <w:sz w:val="20"/>
                <w:szCs w:val="20"/>
              </w:rPr>
            </w:pPr>
          </w:p>
          <w:p w14:paraId="5FABAB43" w14:textId="0F3CBF94" w:rsidR="00C35240" w:rsidRPr="007A2F1C" w:rsidRDefault="00C35240" w:rsidP="008F6E08">
            <w:pPr>
              <w:spacing w:after="0" w:line="240" w:lineRule="auto"/>
              <w:ind w:left="92"/>
              <w:rPr>
                <w:rFonts w:asciiTheme="majorHAnsi" w:hAnsiTheme="majorHAnsi" w:cs="Arial"/>
                <w:sz w:val="20"/>
                <w:szCs w:val="20"/>
              </w:rPr>
            </w:pPr>
            <w:r w:rsidRPr="00420A2E">
              <w:rPr>
                <w:sz w:val="20"/>
                <w:szCs w:val="20"/>
              </w:rPr>
              <w:t xml:space="preserve">This data was based on a pre-specified, exploratory subgroup analysis, it was not controlled for type 1 error, and </w:t>
            </w:r>
            <w:r>
              <w:rPr>
                <w:sz w:val="20"/>
                <w:szCs w:val="20"/>
              </w:rPr>
              <w:t>HRD</w:t>
            </w:r>
            <w:r w:rsidRPr="00420A2E">
              <w:rPr>
                <w:sz w:val="20"/>
                <w:szCs w:val="20"/>
              </w:rPr>
              <w:t xml:space="preserve"> was not a stratification factor</w:t>
            </w:r>
            <w:r w:rsidRPr="007A2F1C">
              <w:rPr>
                <w:rFonts w:asciiTheme="majorHAnsi" w:hAnsiTheme="majorHAnsi" w:cs="Arial"/>
                <w:sz w:val="20"/>
                <w:szCs w:val="20"/>
              </w:rPr>
              <w:t>.</w:t>
            </w:r>
            <w:r w:rsidRPr="007A2F1C">
              <w:rPr>
                <w:rFonts w:asciiTheme="majorHAnsi" w:hAnsiTheme="majorHAnsi" w:cs="Arial"/>
                <w:sz w:val="20"/>
                <w:szCs w:val="20"/>
                <w:vertAlign w:val="superscript"/>
              </w:rPr>
              <w:t>15</w:t>
            </w:r>
          </w:p>
          <w:p w14:paraId="7EECB0BF" w14:textId="77777777" w:rsidR="00C35240" w:rsidRDefault="00C35240" w:rsidP="008F6E08">
            <w:pPr>
              <w:spacing w:after="0" w:line="240" w:lineRule="auto"/>
              <w:ind w:left="92"/>
              <w:rPr>
                <w:rFonts w:asciiTheme="majorHAnsi" w:hAnsiTheme="majorHAnsi" w:cs="Arial"/>
                <w:sz w:val="20"/>
                <w:szCs w:val="20"/>
              </w:rPr>
            </w:pPr>
          </w:p>
          <w:p w14:paraId="04900E54" w14:textId="77777777" w:rsidR="00C35240" w:rsidRDefault="00C35240" w:rsidP="00C35240">
            <w:pPr>
              <w:spacing w:after="0" w:line="240" w:lineRule="auto"/>
              <w:ind w:left="92"/>
              <w:rPr>
                <w:rFonts w:asciiTheme="majorHAnsi" w:hAnsiTheme="majorHAnsi" w:cs="Arial"/>
                <w:sz w:val="20"/>
                <w:szCs w:val="20"/>
              </w:rPr>
            </w:pPr>
            <w:r w:rsidRPr="007A2F1C">
              <w:rPr>
                <w:rFonts w:asciiTheme="majorHAnsi" w:hAnsiTheme="majorHAnsi" w:cs="Arial"/>
                <w:sz w:val="20"/>
                <w:szCs w:val="20"/>
              </w:rPr>
              <w:t>The results of PAOLA-1 were truly clinically significant.</w:t>
            </w:r>
          </w:p>
          <w:p w14:paraId="14871203" w14:textId="77777777" w:rsidR="00CE1524" w:rsidRDefault="00CE1524" w:rsidP="00C35240">
            <w:pPr>
              <w:spacing w:after="0" w:line="240" w:lineRule="auto"/>
              <w:ind w:left="92"/>
              <w:rPr>
                <w:rFonts w:asciiTheme="majorHAnsi" w:hAnsiTheme="majorHAnsi" w:cs="Arial"/>
                <w:sz w:val="20"/>
                <w:szCs w:val="20"/>
              </w:rPr>
            </w:pPr>
          </w:p>
          <w:p w14:paraId="25F5E715" w14:textId="77777777" w:rsidR="00CE1524" w:rsidRDefault="00CE1524" w:rsidP="00C35240">
            <w:pPr>
              <w:spacing w:after="0" w:line="240" w:lineRule="auto"/>
              <w:ind w:left="92"/>
              <w:rPr>
                <w:rFonts w:asciiTheme="majorHAnsi" w:hAnsiTheme="majorHAnsi" w:cs="Arial"/>
                <w:sz w:val="20"/>
                <w:szCs w:val="20"/>
              </w:rPr>
            </w:pPr>
          </w:p>
          <w:p w14:paraId="01D8F59B" w14:textId="77777777" w:rsidR="00CE1524" w:rsidRDefault="00CE1524" w:rsidP="00C35240">
            <w:pPr>
              <w:spacing w:after="0" w:line="240" w:lineRule="auto"/>
              <w:ind w:left="92"/>
              <w:rPr>
                <w:rFonts w:asciiTheme="majorHAnsi" w:hAnsiTheme="majorHAnsi" w:cs="Arial"/>
                <w:sz w:val="20"/>
                <w:szCs w:val="20"/>
              </w:rPr>
            </w:pPr>
          </w:p>
          <w:p w14:paraId="39123603" w14:textId="77777777" w:rsidR="00CE1524" w:rsidRDefault="00CE1524" w:rsidP="00C35240">
            <w:pPr>
              <w:spacing w:after="0" w:line="240" w:lineRule="auto"/>
              <w:ind w:left="92"/>
              <w:rPr>
                <w:rFonts w:asciiTheme="majorHAnsi" w:hAnsiTheme="majorHAnsi" w:cs="Arial"/>
                <w:sz w:val="20"/>
                <w:szCs w:val="20"/>
              </w:rPr>
            </w:pPr>
          </w:p>
          <w:p w14:paraId="71EACFFA" w14:textId="77777777" w:rsidR="00CE1524" w:rsidRDefault="00CE1524" w:rsidP="00C35240">
            <w:pPr>
              <w:spacing w:after="0" w:line="240" w:lineRule="auto"/>
              <w:ind w:left="92"/>
              <w:rPr>
                <w:rFonts w:asciiTheme="majorHAnsi" w:hAnsiTheme="majorHAnsi" w:cs="Arial"/>
                <w:sz w:val="20"/>
                <w:szCs w:val="20"/>
              </w:rPr>
            </w:pPr>
          </w:p>
          <w:p w14:paraId="36288658" w14:textId="77777777" w:rsidR="00CE1524" w:rsidRDefault="00CE1524" w:rsidP="00C35240">
            <w:pPr>
              <w:spacing w:after="0" w:line="240" w:lineRule="auto"/>
              <w:ind w:left="92"/>
              <w:rPr>
                <w:rFonts w:asciiTheme="majorHAnsi" w:hAnsiTheme="majorHAnsi" w:cs="Arial"/>
                <w:sz w:val="20"/>
                <w:szCs w:val="20"/>
              </w:rPr>
            </w:pPr>
          </w:p>
          <w:p w14:paraId="38BC9425" w14:textId="77777777" w:rsidR="00CE1524" w:rsidRDefault="00CE1524" w:rsidP="00C35240">
            <w:pPr>
              <w:spacing w:after="0" w:line="240" w:lineRule="auto"/>
              <w:ind w:left="92"/>
              <w:rPr>
                <w:rFonts w:asciiTheme="majorHAnsi" w:hAnsiTheme="majorHAnsi" w:cs="Arial"/>
                <w:sz w:val="20"/>
                <w:szCs w:val="20"/>
              </w:rPr>
            </w:pPr>
          </w:p>
          <w:p w14:paraId="59F684E9" w14:textId="77777777" w:rsidR="00CE1524" w:rsidRDefault="00CE1524" w:rsidP="00C35240">
            <w:pPr>
              <w:spacing w:after="0" w:line="240" w:lineRule="auto"/>
              <w:ind w:left="92"/>
              <w:rPr>
                <w:rFonts w:asciiTheme="majorHAnsi" w:hAnsiTheme="majorHAnsi" w:cs="Arial"/>
                <w:sz w:val="20"/>
                <w:szCs w:val="20"/>
              </w:rPr>
            </w:pPr>
          </w:p>
          <w:p w14:paraId="3056E170" w14:textId="77777777" w:rsidR="00CE1524" w:rsidRDefault="00CE1524" w:rsidP="00C35240">
            <w:pPr>
              <w:spacing w:after="0" w:line="240" w:lineRule="auto"/>
              <w:ind w:left="92"/>
              <w:rPr>
                <w:rFonts w:asciiTheme="majorHAnsi" w:hAnsiTheme="majorHAnsi" w:cs="Arial"/>
                <w:sz w:val="20"/>
                <w:szCs w:val="20"/>
              </w:rPr>
            </w:pPr>
          </w:p>
          <w:p w14:paraId="465243D2" w14:textId="724C52DA" w:rsidR="00CE1524" w:rsidRPr="00C35240" w:rsidRDefault="00CE1524" w:rsidP="00C35240">
            <w:pPr>
              <w:spacing w:after="0" w:line="240" w:lineRule="auto"/>
              <w:ind w:left="92"/>
              <w:rPr>
                <w:rFonts w:asciiTheme="majorHAnsi" w:hAnsiTheme="majorHAnsi" w:cs="Arial"/>
                <w:sz w:val="20"/>
                <w:szCs w:val="20"/>
              </w:rPr>
            </w:pPr>
          </w:p>
        </w:tc>
      </w:tr>
      <w:tr w:rsidR="00C35240" w:rsidRPr="007A2F1C" w14:paraId="312B173E" w14:textId="77777777" w:rsidTr="00C35240">
        <w:trPr>
          <w:cantSplit/>
          <w:trHeight w:val="317"/>
        </w:trPr>
        <w:tc>
          <w:tcPr>
            <w:tcW w:w="13410" w:type="dxa"/>
            <w:shd w:val="clear" w:color="auto" w:fill="829BAD" w:themeFill="background2"/>
          </w:tcPr>
          <w:p w14:paraId="43EF4993" w14:textId="6F704F98" w:rsidR="00C35240" w:rsidRPr="007A2F1C" w:rsidRDefault="00703624" w:rsidP="008F6E08">
            <w:pPr>
              <w:pStyle w:val="BasicParagraph"/>
              <w:suppressAutoHyphens/>
              <w:spacing w:line="240" w:lineRule="auto"/>
              <w:ind w:left="90" w:right="181"/>
              <w:rPr>
                <w:rFonts w:ascii="Karla" w:hAnsi="Karla" w:cs="Karla"/>
                <w:b/>
                <w:bCs/>
                <w:color w:val="041726" w:themeColor="text1"/>
                <w:sz w:val="20"/>
                <w:szCs w:val="20"/>
              </w:rPr>
            </w:pPr>
            <w:r w:rsidRPr="007A2F1C">
              <w:lastRenderedPageBreak/>
              <w:br w:type="page"/>
            </w:r>
            <w:r w:rsidR="00C35240" w:rsidRPr="007A2F1C">
              <w:rPr>
                <w:rFonts w:asciiTheme="majorHAnsi" w:hAnsiTheme="majorHAnsi"/>
                <w:b/>
                <w:color w:val="FFFFFF" w:themeColor="accent6"/>
                <w:sz w:val="20"/>
              </w:rPr>
              <w:t>Screen 13</w:t>
            </w:r>
          </w:p>
        </w:tc>
      </w:tr>
      <w:tr w:rsidR="00C35240" w:rsidRPr="007A2F1C" w14:paraId="00645C46" w14:textId="77777777" w:rsidTr="00C35240">
        <w:trPr>
          <w:cantSplit/>
          <w:trHeight w:val="317"/>
        </w:trPr>
        <w:tc>
          <w:tcPr>
            <w:tcW w:w="13410" w:type="dxa"/>
            <w:shd w:val="clear" w:color="auto" w:fill="auto"/>
          </w:tcPr>
          <w:p w14:paraId="480BFA56" w14:textId="543AAC52" w:rsidR="00C35240" w:rsidRPr="007A2F1C" w:rsidRDefault="00C35240" w:rsidP="008F6E08">
            <w:pPr>
              <w:pStyle w:val="BasicParagraph"/>
              <w:suppressAutoHyphens/>
              <w:spacing w:line="240" w:lineRule="auto"/>
              <w:ind w:left="90" w:right="181"/>
              <w:rPr>
                <w:rFonts w:asciiTheme="majorHAnsi" w:hAnsiTheme="majorHAnsi" w:cs="Arial"/>
                <w:sz w:val="20"/>
                <w:szCs w:val="20"/>
              </w:rPr>
            </w:pPr>
            <w:r w:rsidRPr="00420A2E">
              <w:rPr>
                <w:rFonts w:asciiTheme="majorHAnsi" w:hAnsiTheme="majorHAnsi" w:cs="Arial"/>
                <w:sz w:val="20"/>
                <w:szCs w:val="20"/>
              </w:rPr>
              <w:t>Despite the positive results and impact of LYNPARZA, in my experience treating many, many patients with ovarian cancer, it's not the survivors that I dwell on. It's the non-survivors. It's the patients that died. That's what affects me in my practice. That's why I keep doing clinical trials, because I want to help even more women live longer</w:t>
            </w:r>
            <w:r w:rsidRPr="007A2F1C">
              <w:rPr>
                <w:rFonts w:asciiTheme="majorHAnsi" w:hAnsiTheme="majorHAnsi" w:cs="Arial"/>
                <w:sz w:val="20"/>
                <w:szCs w:val="20"/>
              </w:rPr>
              <w:t xml:space="preserve">. </w:t>
            </w:r>
          </w:p>
          <w:p w14:paraId="57BC9101" w14:textId="77777777" w:rsidR="00C35240" w:rsidRPr="007A2F1C" w:rsidRDefault="00C35240" w:rsidP="008F6E08">
            <w:pPr>
              <w:pStyle w:val="BasicParagraph"/>
              <w:suppressAutoHyphens/>
              <w:spacing w:line="240" w:lineRule="auto"/>
              <w:ind w:left="90" w:right="181"/>
              <w:rPr>
                <w:rFonts w:asciiTheme="majorHAnsi" w:hAnsiTheme="majorHAnsi" w:cs="Arial"/>
                <w:sz w:val="20"/>
                <w:szCs w:val="20"/>
              </w:rPr>
            </w:pPr>
          </w:p>
          <w:p w14:paraId="4104BE0C" w14:textId="6C6CF821" w:rsidR="00C35240" w:rsidRPr="007A2F1C" w:rsidRDefault="00C35240" w:rsidP="008F6E08">
            <w:pPr>
              <w:pStyle w:val="BasicParagraph"/>
              <w:suppressAutoHyphens/>
              <w:spacing w:line="240" w:lineRule="auto"/>
              <w:ind w:left="90" w:right="181"/>
              <w:rPr>
                <w:rFonts w:asciiTheme="majorHAnsi" w:hAnsiTheme="majorHAnsi" w:cs="Arial"/>
                <w:color w:val="FF0000"/>
                <w:sz w:val="20"/>
                <w:szCs w:val="20"/>
                <w:vertAlign w:val="superscript"/>
              </w:rPr>
            </w:pPr>
            <w:r w:rsidRPr="00437E9A">
              <w:rPr>
                <w:rFonts w:asciiTheme="majorHAnsi" w:hAnsiTheme="majorHAnsi" w:cs="Arial"/>
                <w:sz w:val="20"/>
                <w:szCs w:val="20"/>
              </w:rPr>
              <w:t xml:space="preserve">We know there's no such thing as low risk advanced ovarian cancer. However, in a post hoc exploratory subgroup analysis of progression free survival by clinical risk of relapse. PAOLA-1 showed that the median progression free survival in the higher-risk HRD-positive subgroup was 3 years with bevacizumab and approximately 1.3 years with placebo plus bevacizumab, 3 vs 1.3 with a hazard ratio of </w:t>
            </w:r>
            <w:proofErr w:type="gramStart"/>
            <w:r w:rsidRPr="00437E9A">
              <w:rPr>
                <w:rFonts w:asciiTheme="majorHAnsi" w:hAnsiTheme="majorHAnsi" w:cs="Arial"/>
                <w:sz w:val="20"/>
                <w:szCs w:val="20"/>
              </w:rPr>
              <w:t>0.39.</w:t>
            </w:r>
            <w:r w:rsidRPr="00437E9A">
              <w:rPr>
                <w:rFonts w:asciiTheme="majorHAnsi" w:hAnsiTheme="majorHAnsi" w:cs="Arial"/>
                <w:sz w:val="20"/>
                <w:szCs w:val="20"/>
                <w:vertAlign w:val="superscript"/>
              </w:rPr>
              <w:t>20</w:t>
            </w:r>
            <w:proofErr w:type="gramEnd"/>
          </w:p>
          <w:p w14:paraId="4249A1B3" w14:textId="77777777" w:rsidR="00C35240" w:rsidRPr="007A2F1C" w:rsidRDefault="00C35240" w:rsidP="00553178">
            <w:pPr>
              <w:pStyle w:val="BasicParagraph"/>
              <w:suppressAutoHyphens/>
              <w:spacing w:line="240" w:lineRule="auto"/>
              <w:ind w:right="181"/>
              <w:rPr>
                <w:rFonts w:asciiTheme="majorHAnsi" w:hAnsiTheme="majorHAnsi" w:cs="Arial"/>
                <w:sz w:val="20"/>
                <w:szCs w:val="20"/>
              </w:rPr>
            </w:pPr>
          </w:p>
          <w:p w14:paraId="053FD196" w14:textId="3B5F775A" w:rsidR="00C35240" w:rsidRPr="007A2F1C" w:rsidRDefault="00C35240" w:rsidP="008F6E08">
            <w:pPr>
              <w:pStyle w:val="BasicParagraph"/>
              <w:suppressAutoHyphens/>
              <w:spacing w:line="240" w:lineRule="auto"/>
              <w:ind w:left="90" w:right="181"/>
              <w:rPr>
                <w:rFonts w:asciiTheme="majorHAnsi" w:hAnsiTheme="majorHAnsi" w:cs="Arial"/>
                <w:sz w:val="20"/>
                <w:szCs w:val="20"/>
              </w:rPr>
            </w:pPr>
            <w:r w:rsidRPr="00B03338">
              <w:rPr>
                <w:rFonts w:asciiTheme="majorHAnsi" w:hAnsiTheme="majorHAnsi" w:cs="Arial"/>
                <w:sz w:val="20"/>
                <w:szCs w:val="20"/>
              </w:rPr>
              <w:t>There's no official consensus on what is considered higher or lower risk. However, in this analysis, higher risk was defined as FIGO stage 4, stage 3 with residual disease or neoadjuvant and interval debulking surgery</w:t>
            </w:r>
            <w:r w:rsidRPr="007A2F1C">
              <w:rPr>
                <w:rFonts w:asciiTheme="majorHAnsi" w:hAnsiTheme="majorHAnsi" w:cs="Arial"/>
                <w:sz w:val="20"/>
                <w:szCs w:val="20"/>
              </w:rPr>
              <w:t>.</w:t>
            </w:r>
            <w:r w:rsidRPr="007A2F1C">
              <w:rPr>
                <w:rFonts w:asciiTheme="majorHAnsi" w:hAnsiTheme="majorHAnsi" w:cs="Arial"/>
                <w:sz w:val="20"/>
                <w:szCs w:val="20"/>
                <w:vertAlign w:val="superscript"/>
              </w:rPr>
              <w:t>20</w:t>
            </w:r>
          </w:p>
          <w:p w14:paraId="5A1838E3" w14:textId="77777777" w:rsidR="00C35240" w:rsidRPr="007A2F1C" w:rsidRDefault="00C35240" w:rsidP="008F6E08">
            <w:pPr>
              <w:pStyle w:val="BasicParagraph"/>
              <w:suppressAutoHyphens/>
              <w:spacing w:line="240" w:lineRule="auto"/>
              <w:ind w:left="90" w:right="181"/>
              <w:rPr>
                <w:rFonts w:asciiTheme="majorHAnsi" w:hAnsiTheme="majorHAnsi" w:cs="Arial"/>
                <w:sz w:val="20"/>
                <w:szCs w:val="20"/>
              </w:rPr>
            </w:pPr>
          </w:p>
          <w:p w14:paraId="5656348D" w14:textId="77777777" w:rsidR="00C35240" w:rsidRDefault="00C35240" w:rsidP="00B03338">
            <w:pPr>
              <w:pStyle w:val="BasicParagraph"/>
              <w:suppressAutoHyphens/>
              <w:spacing w:line="240" w:lineRule="auto"/>
              <w:ind w:left="90" w:right="181"/>
              <w:rPr>
                <w:rFonts w:asciiTheme="majorHAnsi" w:hAnsiTheme="majorHAnsi" w:cs="Arial"/>
                <w:sz w:val="20"/>
                <w:szCs w:val="20"/>
              </w:rPr>
            </w:pPr>
            <w:r w:rsidRPr="00B03338">
              <w:rPr>
                <w:rFonts w:asciiTheme="majorHAnsi" w:hAnsiTheme="majorHAnsi" w:cs="Arial"/>
                <w:sz w:val="20"/>
                <w:szCs w:val="20"/>
              </w:rPr>
              <w:t>The point is that we as oncologists need to test. We need to do germline testing and somatic testing, genetic and genomic testing early for all patients with epithelial ovarian cancer to ensure we have the right information to make the right decision and inform the treatment plan</w:t>
            </w:r>
            <w:r w:rsidRPr="007A2F1C">
              <w:rPr>
                <w:rFonts w:asciiTheme="majorHAnsi" w:hAnsiTheme="majorHAnsi" w:cs="Arial"/>
                <w:sz w:val="20"/>
                <w:szCs w:val="20"/>
              </w:rPr>
              <w:t>.</w:t>
            </w:r>
          </w:p>
          <w:p w14:paraId="5D276044" w14:textId="46336079" w:rsidR="00CE1524" w:rsidRPr="00CE1524" w:rsidRDefault="00CE1524" w:rsidP="00B03338">
            <w:pPr>
              <w:pStyle w:val="BasicParagraph"/>
              <w:suppressAutoHyphens/>
              <w:spacing w:line="240" w:lineRule="auto"/>
              <w:ind w:left="90" w:right="181"/>
              <w:rPr>
                <w:rFonts w:asciiTheme="majorHAnsi" w:hAnsiTheme="majorHAnsi" w:cs="Arial"/>
                <w:sz w:val="10"/>
                <w:szCs w:val="10"/>
              </w:rPr>
            </w:pPr>
          </w:p>
        </w:tc>
      </w:tr>
      <w:tr w:rsidR="00C35240" w:rsidRPr="007A2F1C" w14:paraId="442AE1EE" w14:textId="77777777" w:rsidTr="00C35240">
        <w:trPr>
          <w:cantSplit/>
          <w:trHeight w:val="317"/>
        </w:trPr>
        <w:tc>
          <w:tcPr>
            <w:tcW w:w="13410" w:type="dxa"/>
            <w:shd w:val="clear" w:color="auto" w:fill="829BAD" w:themeFill="background2"/>
          </w:tcPr>
          <w:p w14:paraId="22FD42C8" w14:textId="442AD94B" w:rsidR="00C35240" w:rsidRPr="007A2F1C" w:rsidRDefault="00703624" w:rsidP="008F6E08">
            <w:pPr>
              <w:pStyle w:val="BasicParagraph"/>
              <w:suppressAutoHyphens/>
              <w:spacing w:line="240" w:lineRule="auto"/>
              <w:ind w:left="90" w:right="181"/>
              <w:rPr>
                <w:rFonts w:ascii="Karla" w:hAnsi="Karla" w:cs="Karla"/>
                <w:b/>
                <w:bCs/>
                <w:color w:val="041726" w:themeColor="text1"/>
                <w:sz w:val="20"/>
                <w:szCs w:val="20"/>
              </w:rPr>
            </w:pPr>
            <w:r w:rsidRPr="007A2F1C">
              <w:br w:type="page"/>
            </w:r>
            <w:r w:rsidR="00C35240" w:rsidRPr="007A2F1C">
              <w:rPr>
                <w:rFonts w:asciiTheme="majorHAnsi" w:hAnsiTheme="majorHAnsi"/>
                <w:b/>
                <w:color w:val="FFFFFF" w:themeColor="accent6"/>
                <w:sz w:val="20"/>
              </w:rPr>
              <w:t>Screen 14</w:t>
            </w:r>
          </w:p>
        </w:tc>
      </w:tr>
      <w:tr w:rsidR="00C35240" w:rsidRPr="007A2F1C" w14:paraId="6071431D" w14:textId="77777777" w:rsidTr="00C35240">
        <w:trPr>
          <w:cantSplit/>
          <w:trHeight w:val="317"/>
        </w:trPr>
        <w:tc>
          <w:tcPr>
            <w:tcW w:w="13410" w:type="dxa"/>
            <w:shd w:val="clear" w:color="auto" w:fill="auto"/>
          </w:tcPr>
          <w:p w14:paraId="011493D0" w14:textId="3E8323FD" w:rsidR="00C35240" w:rsidRDefault="00C35240" w:rsidP="008F6E08">
            <w:pPr>
              <w:spacing w:after="0" w:line="240" w:lineRule="auto"/>
              <w:ind w:left="92"/>
              <w:rPr>
                <w:rFonts w:asciiTheme="majorHAnsi" w:hAnsiTheme="majorHAnsi" w:cs="Arial"/>
                <w:sz w:val="20"/>
                <w:szCs w:val="20"/>
                <w:vertAlign w:val="superscript"/>
              </w:rPr>
            </w:pPr>
            <w:r w:rsidRPr="00112420">
              <w:rPr>
                <w:rFonts w:asciiTheme="majorHAnsi" w:hAnsiTheme="majorHAnsi" w:cs="Arial"/>
                <w:sz w:val="20"/>
                <w:szCs w:val="20"/>
              </w:rPr>
              <w:t xml:space="preserve">The companion diagnostic that was attached to </w:t>
            </w:r>
            <w:proofErr w:type="spellStart"/>
            <w:r w:rsidRPr="00112420">
              <w:rPr>
                <w:rFonts w:asciiTheme="majorHAnsi" w:hAnsiTheme="majorHAnsi" w:cs="Arial"/>
                <w:sz w:val="20"/>
                <w:szCs w:val="20"/>
              </w:rPr>
              <w:t>olaparib</w:t>
            </w:r>
            <w:proofErr w:type="spellEnd"/>
            <w:r w:rsidRPr="00112420">
              <w:rPr>
                <w:rFonts w:asciiTheme="majorHAnsi" w:hAnsiTheme="majorHAnsi" w:cs="Arial"/>
                <w:sz w:val="20"/>
                <w:szCs w:val="20"/>
              </w:rPr>
              <w:t xml:space="preserve"> approval was Myriad </w:t>
            </w:r>
            <w:proofErr w:type="spellStart"/>
            <w:r w:rsidRPr="00112420">
              <w:rPr>
                <w:rFonts w:asciiTheme="majorHAnsi" w:hAnsiTheme="majorHAnsi" w:cs="Arial"/>
                <w:sz w:val="20"/>
                <w:szCs w:val="20"/>
              </w:rPr>
              <w:t>MyChoice</w:t>
            </w:r>
            <w:proofErr w:type="spellEnd"/>
            <w:r w:rsidRPr="00112420">
              <w:rPr>
                <w:rFonts w:asciiTheme="majorHAnsi" w:hAnsiTheme="majorHAnsi" w:cs="Arial"/>
                <w:sz w:val="20"/>
                <w:szCs w:val="20"/>
              </w:rPr>
              <w:t>, as well as the inclusion of biomarker testing in treatment guidelines, encouraged oncologists to order biomarker testing at the time of diagnosis to determine the appropriate maintenance treatment for patients with advanced ovarian cancer</w:t>
            </w:r>
            <w:r w:rsidRPr="007A2F1C">
              <w:rPr>
                <w:rFonts w:asciiTheme="majorHAnsi" w:hAnsiTheme="majorHAnsi" w:cs="Arial"/>
                <w:sz w:val="20"/>
                <w:szCs w:val="20"/>
              </w:rPr>
              <w:t>.</w:t>
            </w:r>
            <w:r w:rsidRPr="007A2F1C">
              <w:rPr>
                <w:rFonts w:asciiTheme="majorHAnsi" w:hAnsiTheme="majorHAnsi" w:cs="Arial"/>
                <w:sz w:val="20"/>
                <w:szCs w:val="20"/>
                <w:vertAlign w:val="superscript"/>
              </w:rPr>
              <w:t>14,</w:t>
            </w:r>
            <w:proofErr w:type="gramStart"/>
            <w:r w:rsidRPr="007A2F1C">
              <w:rPr>
                <w:rFonts w:asciiTheme="majorHAnsi" w:hAnsiTheme="majorHAnsi" w:cs="Arial"/>
                <w:sz w:val="20"/>
                <w:szCs w:val="20"/>
                <w:vertAlign w:val="superscript"/>
              </w:rPr>
              <w:t>21</w:t>
            </w:r>
            <w:proofErr w:type="gramEnd"/>
          </w:p>
          <w:p w14:paraId="38838E33" w14:textId="77777777" w:rsidR="00C35240" w:rsidRPr="007A2F1C" w:rsidDel="00224688" w:rsidRDefault="00C35240" w:rsidP="008F6E08">
            <w:pPr>
              <w:spacing w:after="0" w:line="240" w:lineRule="auto"/>
              <w:ind w:left="92"/>
              <w:rPr>
                <w:rFonts w:asciiTheme="majorHAnsi" w:hAnsiTheme="majorHAnsi" w:cs="Arial"/>
                <w:color w:val="FF0000"/>
                <w:sz w:val="20"/>
                <w:szCs w:val="20"/>
                <w:vertAlign w:val="superscript"/>
              </w:rPr>
            </w:pPr>
          </w:p>
          <w:p w14:paraId="13EEA6DC" w14:textId="77777777" w:rsidR="00C35240" w:rsidRDefault="00C35240" w:rsidP="00C35240">
            <w:pPr>
              <w:pStyle w:val="BasicParagraph"/>
              <w:suppressAutoHyphens/>
              <w:spacing w:line="240" w:lineRule="auto"/>
              <w:ind w:left="90" w:right="181"/>
              <w:rPr>
                <w:rFonts w:ascii="Karla" w:hAnsi="Karla" w:cs="Karla"/>
                <w:color w:val="041726" w:themeColor="text1"/>
                <w:sz w:val="20"/>
                <w:szCs w:val="20"/>
                <w:vertAlign w:val="superscript"/>
              </w:rPr>
            </w:pPr>
            <w:r w:rsidRPr="007A2F1C">
              <w:rPr>
                <w:rFonts w:ascii="Karla" w:hAnsi="Karla" w:cs="Karla"/>
                <w:color w:val="041726" w:themeColor="text1"/>
                <w:sz w:val="20"/>
                <w:szCs w:val="20"/>
              </w:rPr>
              <w:t>There are 2 other companion diagnostics approved for LYNPARZA.</w:t>
            </w:r>
            <w:r w:rsidRPr="007A2F1C">
              <w:rPr>
                <w:rFonts w:ascii="Karla" w:hAnsi="Karla" w:cs="Karla"/>
                <w:color w:val="041726" w:themeColor="text1"/>
                <w:sz w:val="20"/>
                <w:szCs w:val="20"/>
                <w:vertAlign w:val="superscript"/>
              </w:rPr>
              <w:t>22</w:t>
            </w:r>
          </w:p>
          <w:p w14:paraId="5174A7B0" w14:textId="0C9BBEB3" w:rsidR="00CE1524" w:rsidRPr="00CE1524" w:rsidRDefault="00CE1524" w:rsidP="00C35240">
            <w:pPr>
              <w:pStyle w:val="BasicParagraph"/>
              <w:suppressAutoHyphens/>
              <w:spacing w:line="240" w:lineRule="auto"/>
              <w:ind w:left="90" w:right="181"/>
              <w:rPr>
                <w:rFonts w:ascii="Karla" w:hAnsi="Karla" w:cs="Karla"/>
                <w:color w:val="041726" w:themeColor="text1"/>
                <w:sz w:val="10"/>
                <w:szCs w:val="10"/>
                <w:vertAlign w:val="superscript"/>
              </w:rPr>
            </w:pPr>
          </w:p>
        </w:tc>
      </w:tr>
      <w:tr w:rsidR="00C35240" w:rsidRPr="007A2F1C" w14:paraId="6B3EB79C" w14:textId="77777777" w:rsidTr="00C35240">
        <w:trPr>
          <w:cantSplit/>
          <w:trHeight w:val="317"/>
        </w:trPr>
        <w:tc>
          <w:tcPr>
            <w:tcW w:w="13410" w:type="dxa"/>
            <w:shd w:val="clear" w:color="auto" w:fill="829BAD" w:themeFill="background2"/>
          </w:tcPr>
          <w:p w14:paraId="59E75341" w14:textId="7C2FE5B1" w:rsidR="00C35240" w:rsidRPr="007A2F1C" w:rsidRDefault="00C35240" w:rsidP="008F6E08">
            <w:pPr>
              <w:pStyle w:val="BasicParagraph"/>
              <w:suppressAutoHyphens/>
              <w:spacing w:line="240" w:lineRule="auto"/>
              <w:ind w:left="90" w:right="181"/>
              <w:rPr>
                <w:rFonts w:ascii="Karla" w:hAnsi="Karla" w:cs="Karla"/>
                <w:b/>
                <w:bCs/>
                <w:color w:val="041726" w:themeColor="text1"/>
                <w:sz w:val="20"/>
                <w:szCs w:val="20"/>
              </w:rPr>
            </w:pPr>
            <w:r w:rsidRPr="007A2F1C">
              <w:rPr>
                <w:rFonts w:asciiTheme="majorHAnsi" w:hAnsiTheme="majorHAnsi"/>
                <w:b/>
                <w:color w:val="FFFFFF" w:themeColor="accent6"/>
                <w:sz w:val="20"/>
              </w:rPr>
              <w:t>Screen 15</w:t>
            </w:r>
          </w:p>
        </w:tc>
      </w:tr>
      <w:tr w:rsidR="00C35240" w:rsidRPr="007A2F1C" w14:paraId="4D313E50" w14:textId="77777777" w:rsidTr="00C35240">
        <w:trPr>
          <w:cantSplit/>
          <w:trHeight w:val="317"/>
        </w:trPr>
        <w:tc>
          <w:tcPr>
            <w:tcW w:w="13410" w:type="dxa"/>
            <w:shd w:val="clear" w:color="auto" w:fill="auto"/>
          </w:tcPr>
          <w:p w14:paraId="012BB80D" w14:textId="3B370968" w:rsidR="00C35240" w:rsidRPr="007A2F1C" w:rsidRDefault="00C35240" w:rsidP="008F6E08">
            <w:pPr>
              <w:spacing w:after="0" w:line="240" w:lineRule="auto"/>
              <w:ind w:left="92"/>
              <w:rPr>
                <w:rFonts w:asciiTheme="majorHAnsi" w:hAnsiTheme="majorHAnsi" w:cs="Arial"/>
                <w:sz w:val="20"/>
                <w:szCs w:val="20"/>
              </w:rPr>
            </w:pPr>
            <w:r w:rsidRPr="00112420">
              <w:rPr>
                <w:rFonts w:asciiTheme="majorHAnsi" w:hAnsiTheme="majorHAnsi" w:cs="Arial"/>
                <w:sz w:val="20"/>
                <w:szCs w:val="20"/>
              </w:rPr>
              <w:t xml:space="preserve">In terms of biomarker testing, once a patient has been diagnosed with ovarian cancer, I immediately order Myriad </w:t>
            </w:r>
            <w:proofErr w:type="spellStart"/>
            <w:r w:rsidRPr="00112420">
              <w:rPr>
                <w:rFonts w:asciiTheme="majorHAnsi" w:hAnsiTheme="majorHAnsi" w:cs="Arial"/>
                <w:sz w:val="20"/>
                <w:szCs w:val="20"/>
              </w:rPr>
              <w:t>MyChoice</w:t>
            </w:r>
            <w:proofErr w:type="spellEnd"/>
            <w:r w:rsidRPr="00112420">
              <w:rPr>
                <w:rFonts w:asciiTheme="majorHAnsi" w:hAnsiTheme="majorHAnsi" w:cs="Arial"/>
                <w:sz w:val="20"/>
                <w:szCs w:val="20"/>
              </w:rPr>
              <w:t xml:space="preserve"> genomic testing and germline </w:t>
            </w:r>
            <w:r w:rsidRPr="00112420">
              <w:rPr>
                <w:rFonts w:asciiTheme="majorHAnsi" w:hAnsiTheme="majorHAnsi" w:cs="Arial"/>
                <w:i/>
                <w:iCs/>
                <w:sz w:val="20"/>
                <w:szCs w:val="20"/>
              </w:rPr>
              <w:t>BRCA</w:t>
            </w:r>
            <w:r w:rsidRPr="00112420">
              <w:rPr>
                <w:rFonts w:asciiTheme="majorHAnsi" w:hAnsiTheme="majorHAnsi" w:cs="Arial"/>
                <w:sz w:val="20"/>
                <w:szCs w:val="20"/>
              </w:rPr>
              <w:t xml:space="preserve"> testing, knowing the germline mutational signature and the somatic HRD result. These tests provide comprehensive information, </w:t>
            </w:r>
            <w:r w:rsidRPr="00412AB9">
              <w:rPr>
                <w:rFonts w:asciiTheme="majorHAnsi" w:hAnsiTheme="majorHAnsi" w:cs="Arial"/>
                <w:sz w:val="20"/>
                <w:szCs w:val="20"/>
              </w:rPr>
              <w:t>that includes in</w:t>
            </w:r>
            <w:r>
              <w:rPr>
                <w:rFonts w:asciiTheme="majorHAnsi" w:hAnsiTheme="majorHAnsi" w:cs="Arial"/>
                <w:sz w:val="20"/>
                <w:szCs w:val="20"/>
              </w:rPr>
              <w:t xml:space="preserve"> the</w:t>
            </w:r>
            <w:r w:rsidRPr="00412AB9">
              <w:rPr>
                <w:rFonts w:asciiTheme="majorHAnsi" w:hAnsiTheme="majorHAnsi" w:cs="Arial"/>
                <w:sz w:val="20"/>
                <w:szCs w:val="20"/>
              </w:rPr>
              <w:t xml:space="preserve"> somatic test Myriad </w:t>
            </w:r>
            <w:proofErr w:type="spellStart"/>
            <w:r w:rsidRPr="00412AB9">
              <w:rPr>
                <w:rFonts w:asciiTheme="majorHAnsi" w:hAnsiTheme="majorHAnsi" w:cs="Arial"/>
                <w:sz w:val="20"/>
                <w:szCs w:val="20"/>
              </w:rPr>
              <w:t>Mychoice</w:t>
            </w:r>
            <w:proofErr w:type="spellEnd"/>
            <w:r>
              <w:rPr>
                <w:rFonts w:asciiTheme="majorHAnsi" w:hAnsiTheme="majorHAnsi" w:cs="Arial"/>
                <w:sz w:val="20"/>
                <w:szCs w:val="20"/>
              </w:rPr>
              <w:t xml:space="preserve">, </w:t>
            </w:r>
            <w:r w:rsidRPr="00112420">
              <w:rPr>
                <w:rFonts w:asciiTheme="majorHAnsi" w:hAnsiTheme="majorHAnsi" w:cs="Arial"/>
                <w:sz w:val="20"/>
                <w:szCs w:val="20"/>
              </w:rPr>
              <w:t>loss of heterozygosity, telomeric allelic imbalance, and large-scale state transitions</w:t>
            </w:r>
            <w:r w:rsidRPr="007A2F1C">
              <w:rPr>
                <w:rFonts w:asciiTheme="majorHAnsi" w:hAnsiTheme="majorHAnsi" w:cs="Arial"/>
                <w:sz w:val="20"/>
                <w:szCs w:val="20"/>
              </w:rPr>
              <w:t>.</w:t>
            </w:r>
            <w:r w:rsidRPr="007A2F1C">
              <w:rPr>
                <w:rFonts w:asciiTheme="majorHAnsi" w:hAnsiTheme="majorHAnsi" w:cs="Arial"/>
                <w:sz w:val="20"/>
                <w:szCs w:val="20"/>
                <w:vertAlign w:val="superscript"/>
              </w:rPr>
              <w:t>23</w:t>
            </w:r>
          </w:p>
          <w:p w14:paraId="683494CA" w14:textId="77777777" w:rsidR="00C35240" w:rsidRDefault="00C35240" w:rsidP="008F6E08">
            <w:pPr>
              <w:spacing w:after="0" w:line="240" w:lineRule="auto"/>
              <w:ind w:left="92"/>
              <w:rPr>
                <w:rFonts w:asciiTheme="majorHAnsi" w:hAnsiTheme="majorHAnsi" w:cs="Arial"/>
                <w:sz w:val="20"/>
                <w:szCs w:val="20"/>
              </w:rPr>
            </w:pPr>
          </w:p>
          <w:p w14:paraId="72B31358" w14:textId="77777777" w:rsidR="00C35240" w:rsidRDefault="00C35240" w:rsidP="00C35240">
            <w:pPr>
              <w:pStyle w:val="BasicParagraph"/>
              <w:suppressAutoHyphens/>
              <w:spacing w:line="240" w:lineRule="auto"/>
              <w:ind w:left="90" w:right="181"/>
              <w:rPr>
                <w:rFonts w:asciiTheme="majorHAnsi" w:hAnsiTheme="majorHAnsi" w:cs="Arial"/>
                <w:color w:val="auto"/>
                <w:sz w:val="20"/>
                <w:szCs w:val="20"/>
              </w:rPr>
            </w:pPr>
            <w:r w:rsidRPr="00112420">
              <w:rPr>
                <w:rFonts w:asciiTheme="majorHAnsi" w:hAnsiTheme="majorHAnsi" w:cs="Arial"/>
                <w:color w:val="auto"/>
                <w:sz w:val="20"/>
                <w:szCs w:val="20"/>
              </w:rPr>
              <w:t xml:space="preserve">It also shows if the patient has a germline </w:t>
            </w:r>
            <w:r w:rsidRPr="00112420">
              <w:rPr>
                <w:rFonts w:asciiTheme="majorHAnsi" w:hAnsiTheme="majorHAnsi" w:cs="Arial"/>
                <w:i/>
                <w:iCs/>
                <w:color w:val="auto"/>
                <w:sz w:val="20"/>
                <w:szCs w:val="20"/>
              </w:rPr>
              <w:t>BRCA</w:t>
            </w:r>
            <w:r w:rsidRPr="00112420">
              <w:rPr>
                <w:rFonts w:asciiTheme="majorHAnsi" w:hAnsiTheme="majorHAnsi" w:cs="Arial"/>
                <w:color w:val="auto"/>
                <w:sz w:val="20"/>
                <w:szCs w:val="20"/>
              </w:rPr>
              <w:t xml:space="preserve"> mutation or another pathogenic variant. And if they do, I refer them to a genetic counselor for surveillance, risk reducing surgery, </w:t>
            </w:r>
            <w:proofErr w:type="gramStart"/>
            <w:r w:rsidRPr="00112420">
              <w:rPr>
                <w:rFonts w:asciiTheme="majorHAnsi" w:hAnsiTheme="majorHAnsi" w:cs="Arial"/>
                <w:color w:val="auto"/>
                <w:sz w:val="20"/>
                <w:szCs w:val="20"/>
              </w:rPr>
              <w:t>and also</w:t>
            </w:r>
            <w:proofErr w:type="gramEnd"/>
            <w:r w:rsidRPr="00112420">
              <w:rPr>
                <w:rFonts w:asciiTheme="majorHAnsi" w:hAnsiTheme="majorHAnsi" w:cs="Arial"/>
                <w:color w:val="auto"/>
                <w:sz w:val="20"/>
                <w:szCs w:val="20"/>
              </w:rPr>
              <w:t xml:space="preserve"> interrogation of their family</w:t>
            </w:r>
            <w:r>
              <w:rPr>
                <w:rFonts w:asciiTheme="majorHAnsi" w:hAnsiTheme="majorHAnsi" w:cs="Arial"/>
                <w:color w:val="auto"/>
                <w:sz w:val="20"/>
                <w:szCs w:val="20"/>
              </w:rPr>
              <w:t>.</w:t>
            </w:r>
          </w:p>
          <w:p w14:paraId="6016BFA0" w14:textId="4DEF9F62" w:rsidR="00CE1524" w:rsidRPr="00CE1524" w:rsidRDefault="00CE1524" w:rsidP="00C35240">
            <w:pPr>
              <w:pStyle w:val="BasicParagraph"/>
              <w:suppressAutoHyphens/>
              <w:spacing w:line="240" w:lineRule="auto"/>
              <w:ind w:left="90" w:right="181"/>
              <w:rPr>
                <w:rFonts w:asciiTheme="majorHAnsi" w:hAnsiTheme="majorHAnsi" w:cs="Arial"/>
                <w:color w:val="auto"/>
                <w:sz w:val="10"/>
                <w:szCs w:val="10"/>
              </w:rPr>
            </w:pPr>
          </w:p>
        </w:tc>
      </w:tr>
      <w:tr w:rsidR="00C35240" w:rsidRPr="007A2F1C" w14:paraId="397376B7" w14:textId="77777777" w:rsidTr="00C35240">
        <w:trPr>
          <w:cantSplit/>
          <w:trHeight w:val="317"/>
        </w:trPr>
        <w:tc>
          <w:tcPr>
            <w:tcW w:w="13410" w:type="dxa"/>
            <w:shd w:val="clear" w:color="auto" w:fill="829BAD" w:themeFill="background2"/>
          </w:tcPr>
          <w:p w14:paraId="05C10EF4" w14:textId="7CC261F1" w:rsidR="00C35240" w:rsidRPr="007A2F1C" w:rsidRDefault="00703624" w:rsidP="008F6E08">
            <w:pPr>
              <w:pStyle w:val="BasicParagraph"/>
              <w:suppressAutoHyphens/>
              <w:spacing w:line="240" w:lineRule="auto"/>
              <w:ind w:left="90" w:right="181"/>
              <w:rPr>
                <w:rFonts w:ascii="Karla" w:hAnsi="Karla" w:cs="Karla"/>
                <w:b/>
                <w:bCs/>
                <w:color w:val="041726" w:themeColor="text1"/>
                <w:sz w:val="20"/>
                <w:szCs w:val="20"/>
              </w:rPr>
            </w:pPr>
            <w:r w:rsidRPr="007A2F1C">
              <w:br w:type="page"/>
            </w:r>
            <w:r w:rsidR="00C35240" w:rsidRPr="007A2F1C">
              <w:rPr>
                <w:rFonts w:asciiTheme="majorHAnsi" w:hAnsiTheme="majorHAnsi"/>
                <w:b/>
                <w:color w:val="FFFFFF" w:themeColor="accent6"/>
                <w:sz w:val="20"/>
              </w:rPr>
              <w:t>Screen 16</w:t>
            </w:r>
          </w:p>
        </w:tc>
      </w:tr>
      <w:tr w:rsidR="00C35240" w:rsidRPr="007A2F1C" w14:paraId="15DACE33" w14:textId="77777777" w:rsidTr="00C35240">
        <w:trPr>
          <w:cantSplit/>
          <w:trHeight w:val="20"/>
        </w:trPr>
        <w:tc>
          <w:tcPr>
            <w:tcW w:w="13410" w:type="dxa"/>
            <w:shd w:val="clear" w:color="auto" w:fill="auto"/>
          </w:tcPr>
          <w:p w14:paraId="5E254B97" w14:textId="77777777" w:rsidR="00C35240" w:rsidRDefault="00C35240" w:rsidP="00A32521">
            <w:pPr>
              <w:spacing w:after="0" w:line="240" w:lineRule="auto"/>
              <w:ind w:left="92"/>
              <w:rPr>
                <w:rFonts w:asciiTheme="majorHAnsi" w:hAnsiTheme="majorHAnsi" w:cs="Arial"/>
                <w:sz w:val="20"/>
                <w:szCs w:val="20"/>
              </w:rPr>
            </w:pPr>
            <w:r w:rsidRPr="00112420">
              <w:rPr>
                <w:rFonts w:asciiTheme="majorHAnsi" w:hAnsiTheme="majorHAnsi" w:cs="Arial"/>
                <w:sz w:val="20"/>
                <w:szCs w:val="20"/>
              </w:rPr>
              <w:t xml:space="preserve">In addition to the approval of LYNPARZA for the treatment of certain types of advanced ovarian cancer, there are opportunities for using LYNPARZA to treat certain types of </w:t>
            </w:r>
            <w:proofErr w:type="gramStart"/>
            <w:r w:rsidRPr="00112420">
              <w:rPr>
                <w:rFonts w:asciiTheme="majorHAnsi" w:hAnsiTheme="majorHAnsi" w:cs="Arial"/>
                <w:sz w:val="20"/>
                <w:szCs w:val="20"/>
              </w:rPr>
              <w:t>breast</w:t>
            </w:r>
            <w:proofErr w:type="gramEnd"/>
            <w:r w:rsidRPr="00112420">
              <w:rPr>
                <w:rFonts w:asciiTheme="majorHAnsi" w:hAnsiTheme="majorHAnsi" w:cs="Arial"/>
                <w:sz w:val="20"/>
                <w:szCs w:val="20"/>
              </w:rPr>
              <w:t xml:space="preserve">, prostate, and pancreatic cancer. Together, across four tumor types and eight indications, </w:t>
            </w:r>
            <w:proofErr w:type="spellStart"/>
            <w:r w:rsidRPr="00112420">
              <w:rPr>
                <w:rFonts w:asciiTheme="majorHAnsi" w:hAnsiTheme="majorHAnsi" w:cs="Arial"/>
                <w:sz w:val="20"/>
                <w:szCs w:val="20"/>
              </w:rPr>
              <w:t>olaparib</w:t>
            </w:r>
            <w:proofErr w:type="spellEnd"/>
            <w:r w:rsidRPr="00112420">
              <w:rPr>
                <w:rFonts w:asciiTheme="majorHAnsi" w:hAnsiTheme="majorHAnsi" w:cs="Arial"/>
                <w:sz w:val="20"/>
                <w:szCs w:val="20"/>
              </w:rPr>
              <w:t xml:space="preserve"> has transformed the landscape of treating women and men</w:t>
            </w:r>
            <w:r w:rsidRPr="007A2F1C" w:rsidDel="00224688">
              <w:rPr>
                <w:rFonts w:asciiTheme="majorHAnsi" w:hAnsiTheme="majorHAnsi" w:cs="Arial"/>
                <w:sz w:val="20"/>
                <w:szCs w:val="20"/>
              </w:rPr>
              <w:t>.</w:t>
            </w:r>
            <w:r w:rsidRPr="007A2F1C">
              <w:rPr>
                <w:rFonts w:asciiTheme="majorHAnsi" w:hAnsiTheme="majorHAnsi" w:cs="Arial"/>
                <w:sz w:val="20"/>
                <w:szCs w:val="20"/>
                <w:vertAlign w:val="superscript"/>
              </w:rPr>
              <w:t>1</w:t>
            </w:r>
            <w:r w:rsidRPr="007A2F1C" w:rsidDel="00224688">
              <w:rPr>
                <w:rFonts w:asciiTheme="majorHAnsi" w:hAnsiTheme="majorHAnsi" w:cs="Arial"/>
                <w:color w:val="FF0000"/>
                <w:sz w:val="20"/>
                <w:szCs w:val="20"/>
              </w:rPr>
              <w:t xml:space="preserve"> </w:t>
            </w:r>
            <w:r w:rsidRPr="007A2F1C">
              <w:rPr>
                <w:rFonts w:asciiTheme="majorHAnsi" w:hAnsiTheme="majorHAnsi" w:cs="Arial"/>
                <w:color w:val="FF0000"/>
                <w:sz w:val="20"/>
                <w:szCs w:val="20"/>
              </w:rPr>
              <w:br/>
            </w:r>
          </w:p>
          <w:p w14:paraId="475204FD" w14:textId="77777777" w:rsidR="00C35240" w:rsidRDefault="00C35240" w:rsidP="00C35240">
            <w:pPr>
              <w:spacing w:after="0" w:line="240" w:lineRule="auto"/>
              <w:ind w:left="92"/>
              <w:rPr>
                <w:rFonts w:asciiTheme="majorHAnsi" w:hAnsiTheme="majorHAnsi" w:cs="Arial"/>
                <w:sz w:val="20"/>
                <w:szCs w:val="20"/>
              </w:rPr>
            </w:pPr>
            <w:r w:rsidRPr="007A2F1C">
              <w:rPr>
                <w:rFonts w:asciiTheme="majorHAnsi" w:hAnsiTheme="majorHAnsi" w:cs="Arial"/>
                <w:sz w:val="20"/>
                <w:szCs w:val="20"/>
              </w:rPr>
              <w:t>In my opinion, t</w:t>
            </w:r>
            <w:r w:rsidRPr="007A2F1C" w:rsidDel="00224688">
              <w:rPr>
                <w:rFonts w:asciiTheme="majorHAnsi" w:hAnsiTheme="majorHAnsi" w:cs="Arial"/>
                <w:sz w:val="20"/>
                <w:szCs w:val="20"/>
              </w:rPr>
              <w:t xml:space="preserve">he number of individuals whose lives </w:t>
            </w:r>
            <w:r>
              <w:rPr>
                <w:rFonts w:asciiTheme="majorHAnsi" w:hAnsiTheme="majorHAnsi" w:cs="Arial"/>
                <w:sz w:val="20"/>
                <w:szCs w:val="20"/>
              </w:rPr>
              <w:t>have been</w:t>
            </w:r>
            <w:r w:rsidRPr="007A2F1C" w:rsidDel="00224688">
              <w:rPr>
                <w:rFonts w:asciiTheme="majorHAnsi" w:hAnsiTheme="majorHAnsi" w:cs="Arial"/>
                <w:sz w:val="20"/>
                <w:szCs w:val="20"/>
              </w:rPr>
              <w:t xml:space="preserve"> transformed</w:t>
            </w:r>
            <w:r>
              <w:rPr>
                <w:rFonts w:asciiTheme="majorHAnsi" w:hAnsiTheme="majorHAnsi" w:cs="Arial"/>
                <w:sz w:val="20"/>
                <w:szCs w:val="20"/>
              </w:rPr>
              <w:t xml:space="preserve"> by </w:t>
            </w:r>
            <w:proofErr w:type="spellStart"/>
            <w:r>
              <w:rPr>
                <w:rFonts w:asciiTheme="majorHAnsi" w:hAnsiTheme="majorHAnsi" w:cs="Arial"/>
                <w:sz w:val="20"/>
                <w:szCs w:val="20"/>
              </w:rPr>
              <w:t>olaparib</w:t>
            </w:r>
            <w:proofErr w:type="spellEnd"/>
            <w:r w:rsidRPr="007A2F1C" w:rsidDel="00224688">
              <w:rPr>
                <w:rFonts w:asciiTheme="majorHAnsi" w:hAnsiTheme="majorHAnsi" w:cs="Arial"/>
                <w:sz w:val="20"/>
                <w:szCs w:val="20"/>
              </w:rPr>
              <w:t xml:space="preserve"> is truly significant. </w:t>
            </w:r>
          </w:p>
          <w:p w14:paraId="4DEC21C3" w14:textId="77777777" w:rsidR="00CE1524" w:rsidRDefault="00CE1524" w:rsidP="00C35240">
            <w:pPr>
              <w:spacing w:after="0" w:line="240" w:lineRule="auto"/>
              <w:ind w:left="92"/>
              <w:rPr>
                <w:rFonts w:asciiTheme="majorHAnsi" w:hAnsiTheme="majorHAnsi" w:cs="Arial"/>
                <w:sz w:val="20"/>
                <w:szCs w:val="20"/>
              </w:rPr>
            </w:pPr>
          </w:p>
          <w:p w14:paraId="5D1752C4" w14:textId="77777777" w:rsidR="00CE1524" w:rsidRDefault="00CE1524" w:rsidP="00C35240">
            <w:pPr>
              <w:spacing w:after="0" w:line="240" w:lineRule="auto"/>
              <w:ind w:left="92"/>
              <w:rPr>
                <w:rFonts w:asciiTheme="majorHAnsi" w:hAnsiTheme="majorHAnsi" w:cs="Arial"/>
                <w:sz w:val="20"/>
                <w:szCs w:val="20"/>
              </w:rPr>
            </w:pPr>
          </w:p>
          <w:p w14:paraId="3BA04410" w14:textId="77777777" w:rsidR="00CE1524" w:rsidRDefault="00CE1524" w:rsidP="00C35240">
            <w:pPr>
              <w:spacing w:after="0" w:line="240" w:lineRule="auto"/>
              <w:ind w:left="92"/>
              <w:rPr>
                <w:rFonts w:asciiTheme="majorHAnsi" w:hAnsiTheme="majorHAnsi" w:cs="Arial"/>
                <w:sz w:val="20"/>
                <w:szCs w:val="20"/>
              </w:rPr>
            </w:pPr>
          </w:p>
          <w:p w14:paraId="131B9372" w14:textId="77777777" w:rsidR="00CE1524" w:rsidRDefault="00CE1524" w:rsidP="00C35240">
            <w:pPr>
              <w:spacing w:after="0" w:line="240" w:lineRule="auto"/>
              <w:ind w:left="92"/>
              <w:rPr>
                <w:rFonts w:asciiTheme="majorHAnsi" w:hAnsiTheme="majorHAnsi" w:cs="Arial"/>
                <w:sz w:val="20"/>
                <w:szCs w:val="20"/>
              </w:rPr>
            </w:pPr>
          </w:p>
          <w:p w14:paraId="6A794884" w14:textId="77777777" w:rsidR="00CE1524" w:rsidRDefault="00CE1524" w:rsidP="00C35240">
            <w:pPr>
              <w:spacing w:after="0" w:line="240" w:lineRule="auto"/>
              <w:ind w:left="92"/>
              <w:rPr>
                <w:rFonts w:asciiTheme="majorHAnsi" w:hAnsiTheme="majorHAnsi" w:cs="Arial"/>
                <w:sz w:val="20"/>
                <w:szCs w:val="20"/>
              </w:rPr>
            </w:pPr>
          </w:p>
          <w:p w14:paraId="2A613601" w14:textId="77777777" w:rsidR="00CE1524" w:rsidRDefault="00CE1524" w:rsidP="00C35240">
            <w:pPr>
              <w:spacing w:after="0" w:line="240" w:lineRule="auto"/>
              <w:ind w:left="92"/>
              <w:rPr>
                <w:rFonts w:asciiTheme="majorHAnsi" w:hAnsiTheme="majorHAnsi" w:cs="Arial"/>
                <w:sz w:val="20"/>
                <w:szCs w:val="20"/>
              </w:rPr>
            </w:pPr>
          </w:p>
          <w:p w14:paraId="1D9E2F09" w14:textId="7D25F00B" w:rsidR="00CE1524" w:rsidRPr="00CE1524" w:rsidRDefault="00CE1524" w:rsidP="00C35240">
            <w:pPr>
              <w:spacing w:after="0" w:line="240" w:lineRule="auto"/>
              <w:ind w:left="92"/>
              <w:rPr>
                <w:rFonts w:asciiTheme="majorHAnsi" w:hAnsiTheme="majorHAnsi" w:cs="Arial"/>
                <w:sz w:val="10"/>
                <w:szCs w:val="10"/>
              </w:rPr>
            </w:pPr>
          </w:p>
        </w:tc>
      </w:tr>
      <w:tr w:rsidR="00C35240" w:rsidRPr="007A2F1C" w14:paraId="4BE67BE6" w14:textId="77777777" w:rsidTr="00C35240">
        <w:trPr>
          <w:cantSplit/>
          <w:trHeight w:val="317"/>
        </w:trPr>
        <w:tc>
          <w:tcPr>
            <w:tcW w:w="13410" w:type="dxa"/>
            <w:shd w:val="clear" w:color="auto" w:fill="829BAD" w:themeFill="background2"/>
          </w:tcPr>
          <w:p w14:paraId="5AD8E07A" w14:textId="011A651D" w:rsidR="00C35240" w:rsidRPr="007A2F1C" w:rsidRDefault="00C35240" w:rsidP="008F6E08">
            <w:pPr>
              <w:pStyle w:val="BasicParagraph"/>
              <w:suppressAutoHyphens/>
              <w:spacing w:line="240" w:lineRule="auto"/>
              <w:ind w:left="90" w:right="181"/>
              <w:rPr>
                <w:rFonts w:asciiTheme="majorHAnsi" w:hAnsiTheme="majorHAnsi"/>
                <w:b/>
                <w:color w:val="FFFFFF" w:themeColor="accent6"/>
                <w:sz w:val="20"/>
              </w:rPr>
            </w:pPr>
            <w:r w:rsidRPr="007A2F1C">
              <w:rPr>
                <w:rFonts w:asciiTheme="majorHAnsi" w:hAnsiTheme="majorHAnsi"/>
                <w:b/>
                <w:color w:val="FFFFFF" w:themeColor="accent6"/>
                <w:sz w:val="20"/>
              </w:rPr>
              <w:lastRenderedPageBreak/>
              <w:t>Screen 17</w:t>
            </w:r>
          </w:p>
        </w:tc>
      </w:tr>
      <w:tr w:rsidR="00C35240" w:rsidRPr="007A2F1C" w14:paraId="7561AB2C" w14:textId="77777777" w:rsidTr="00C35240">
        <w:trPr>
          <w:cantSplit/>
          <w:trHeight w:val="317"/>
        </w:trPr>
        <w:tc>
          <w:tcPr>
            <w:tcW w:w="13410" w:type="dxa"/>
            <w:shd w:val="clear" w:color="auto" w:fill="auto"/>
          </w:tcPr>
          <w:p w14:paraId="3722329B" w14:textId="461A8E64" w:rsidR="00C35240" w:rsidRPr="007A2F1C" w:rsidRDefault="00C35240" w:rsidP="00CE1524">
            <w:pPr>
              <w:pStyle w:val="BasicParagraph"/>
              <w:suppressAutoHyphens/>
              <w:spacing w:line="240" w:lineRule="auto"/>
              <w:ind w:left="90" w:right="181"/>
              <w:rPr>
                <w:rFonts w:asciiTheme="majorHAnsi" w:hAnsiTheme="majorHAnsi" w:cs="Gotham Bold"/>
                <w:color w:val="041726" w:themeColor="text1"/>
                <w:sz w:val="20"/>
                <w:szCs w:val="20"/>
              </w:rPr>
            </w:pPr>
            <w:r w:rsidRPr="00112420">
              <w:rPr>
                <w:rFonts w:asciiTheme="majorHAnsi" w:hAnsiTheme="majorHAnsi" w:cs="Gotham Bold"/>
                <w:color w:val="041726" w:themeColor="text1"/>
                <w:sz w:val="20"/>
                <w:szCs w:val="20"/>
              </w:rPr>
              <w:t xml:space="preserve">For the last decade, at this 10-year celebration, LYNPARZA has had a meaningful impact in patients’ lives, in ovarian cancer and other cancers with BRCA mutations, including homologous recombination repair genes or the HRD signature. And the combination of </w:t>
            </w:r>
            <w:proofErr w:type="spellStart"/>
            <w:r w:rsidRPr="00112420">
              <w:rPr>
                <w:rFonts w:asciiTheme="majorHAnsi" w:hAnsiTheme="majorHAnsi" w:cs="Gotham Bold"/>
                <w:color w:val="041726" w:themeColor="text1"/>
                <w:sz w:val="20"/>
                <w:szCs w:val="20"/>
              </w:rPr>
              <w:t>olaparib</w:t>
            </w:r>
            <w:proofErr w:type="spellEnd"/>
            <w:r w:rsidRPr="00112420">
              <w:rPr>
                <w:rFonts w:asciiTheme="majorHAnsi" w:hAnsiTheme="majorHAnsi" w:cs="Gotham Bold"/>
                <w:color w:val="041726" w:themeColor="text1"/>
                <w:sz w:val="20"/>
                <w:szCs w:val="20"/>
              </w:rPr>
              <w:t xml:space="preserve"> and bevacizumab has now been the standard of care since its FDA approval in May of 2020, over four years</w:t>
            </w:r>
            <w:r w:rsidRPr="007A2F1C">
              <w:rPr>
                <w:rFonts w:asciiTheme="majorHAnsi" w:hAnsiTheme="majorHAnsi" w:cs="Gotham Bold"/>
                <w:color w:val="041726" w:themeColor="text1"/>
                <w:sz w:val="20"/>
                <w:szCs w:val="20"/>
              </w:rPr>
              <w:t xml:space="preserve">. </w:t>
            </w:r>
          </w:p>
          <w:p w14:paraId="1D3ADCD1" w14:textId="77777777" w:rsidR="00C35240" w:rsidRDefault="00C35240" w:rsidP="00C35240">
            <w:pPr>
              <w:pStyle w:val="BasicParagraph"/>
              <w:suppressAutoHyphens/>
              <w:spacing w:line="240" w:lineRule="auto"/>
              <w:ind w:left="90" w:right="181"/>
              <w:rPr>
                <w:rFonts w:asciiTheme="majorHAnsi" w:hAnsiTheme="majorHAnsi" w:cs="Gotham Bold"/>
                <w:color w:val="041726" w:themeColor="text1"/>
                <w:sz w:val="20"/>
                <w:szCs w:val="20"/>
              </w:rPr>
            </w:pPr>
            <w:r w:rsidRPr="00112420">
              <w:rPr>
                <w:rFonts w:asciiTheme="majorHAnsi" w:hAnsiTheme="majorHAnsi" w:cs="Gotham Bold"/>
                <w:color w:val="041726" w:themeColor="text1"/>
                <w:sz w:val="20"/>
                <w:szCs w:val="20"/>
              </w:rPr>
              <w:t>I'd like to point out that, in my opinion, we're still in the implementation phase of expanding the use of LYNPARZA for appropriate patients. So, I'm looking forward to seeing its continued impact over the next 10 years, in the community and helping more patients of mine and yours live longer</w:t>
            </w:r>
            <w:r w:rsidRPr="007A2F1C">
              <w:rPr>
                <w:rFonts w:asciiTheme="majorHAnsi" w:hAnsiTheme="majorHAnsi" w:cs="Gotham Bold"/>
                <w:color w:val="041726" w:themeColor="text1"/>
                <w:sz w:val="20"/>
                <w:szCs w:val="20"/>
              </w:rPr>
              <w:t>.</w:t>
            </w:r>
          </w:p>
          <w:p w14:paraId="1AC11331"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24B75E6F"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2693B05A"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7D8A1C64"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044EE382"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3764F0E3"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7F64A778"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799F78DB"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07D3647D"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6FB5E76A"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14ACFD9D"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0F7273E4"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5F29783C"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11784019"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23525FDA"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2511A1E3"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2DADB22C"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3B8B224D"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64F849ED"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390FF8B3"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7B934C63"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0E0780C5"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4CDF79EA"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397ADE38"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0E783DA0"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0F19B229"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616607FB"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00B501F3"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33DF7EA9"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5D112E43"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70053676"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17671CD8"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10E7C55F"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511C98DE" w14:textId="77777777" w:rsidR="00CE1524" w:rsidRDefault="00CE1524" w:rsidP="00C35240">
            <w:pPr>
              <w:pStyle w:val="BasicParagraph"/>
              <w:suppressAutoHyphens/>
              <w:spacing w:line="240" w:lineRule="auto"/>
              <w:ind w:left="90" w:right="181"/>
              <w:rPr>
                <w:rFonts w:asciiTheme="majorHAnsi" w:hAnsiTheme="majorHAnsi" w:cs="Gotham Bold"/>
                <w:color w:val="041726" w:themeColor="text1"/>
                <w:sz w:val="20"/>
                <w:szCs w:val="20"/>
              </w:rPr>
            </w:pPr>
          </w:p>
          <w:p w14:paraId="30EF8A7A" w14:textId="3376DA3F" w:rsidR="00CE1524" w:rsidRPr="007A2F1C" w:rsidRDefault="00CE1524" w:rsidP="00CE1524">
            <w:pPr>
              <w:pStyle w:val="BasicParagraph"/>
              <w:suppressAutoHyphens/>
              <w:spacing w:line="240" w:lineRule="auto"/>
              <w:ind w:right="181"/>
              <w:rPr>
                <w:rFonts w:asciiTheme="majorHAnsi" w:hAnsiTheme="majorHAnsi" w:cs="Gotham Bold"/>
                <w:color w:val="041726" w:themeColor="text1"/>
                <w:sz w:val="20"/>
                <w:szCs w:val="20"/>
              </w:rPr>
            </w:pPr>
          </w:p>
        </w:tc>
      </w:tr>
      <w:tr w:rsidR="00CE1524" w:rsidRPr="007A2F1C" w14:paraId="2655B66B" w14:textId="77777777" w:rsidTr="00CE1524">
        <w:trPr>
          <w:cantSplit/>
          <w:trHeight w:val="317"/>
        </w:trPr>
        <w:tc>
          <w:tcPr>
            <w:tcW w:w="13410" w:type="dxa"/>
            <w:shd w:val="clear" w:color="auto" w:fill="auto"/>
          </w:tcPr>
          <w:p w14:paraId="1E8C6B89" w14:textId="77777777" w:rsidR="00CE1524" w:rsidRDefault="00CE1524" w:rsidP="00CE1524">
            <w:pPr>
              <w:spacing w:after="0" w:line="240" w:lineRule="auto"/>
              <w:rPr>
                <w:rFonts w:ascii="Arial" w:hAnsi="Arial" w:cs="Arial"/>
                <w:b/>
                <w:bCs/>
                <w:sz w:val="20"/>
                <w:szCs w:val="20"/>
              </w:rPr>
            </w:pPr>
            <w:r w:rsidRPr="00CE1524">
              <w:rPr>
                <w:rFonts w:ascii="Arial" w:hAnsi="Arial" w:cs="Arial"/>
                <w:b/>
                <w:bCs/>
                <w:sz w:val="20"/>
                <w:szCs w:val="20"/>
              </w:rPr>
              <w:lastRenderedPageBreak/>
              <w:t>Important Safety Information</w:t>
            </w:r>
          </w:p>
          <w:p w14:paraId="626BA613" w14:textId="77777777" w:rsidR="00CE1524" w:rsidRDefault="00CE1524" w:rsidP="00CE1524">
            <w:pPr>
              <w:spacing w:after="0" w:line="240" w:lineRule="auto"/>
              <w:rPr>
                <w:rFonts w:ascii="Arial" w:hAnsi="Arial" w:cs="Arial"/>
                <w:b/>
                <w:bCs/>
                <w:sz w:val="20"/>
                <w:szCs w:val="20"/>
              </w:rPr>
            </w:pPr>
          </w:p>
          <w:p w14:paraId="244B97B4" w14:textId="0C0622A4" w:rsidR="00CE1524" w:rsidRPr="007A2F1C" w:rsidRDefault="00CE1524" w:rsidP="00CE1524">
            <w:pPr>
              <w:spacing w:after="0" w:line="240" w:lineRule="auto"/>
              <w:rPr>
                <w:rFonts w:ascii="Arial" w:hAnsi="Arial" w:cs="Arial"/>
                <w:b/>
                <w:bCs/>
                <w:sz w:val="20"/>
                <w:szCs w:val="20"/>
              </w:rPr>
            </w:pPr>
            <w:r w:rsidRPr="007A2F1C">
              <w:rPr>
                <w:rFonts w:ascii="Arial" w:hAnsi="Arial" w:cs="Arial"/>
                <w:b/>
                <w:bCs/>
                <w:sz w:val="20"/>
                <w:szCs w:val="20"/>
              </w:rPr>
              <w:t>CONTRAINDICATIONS</w:t>
            </w:r>
          </w:p>
          <w:p w14:paraId="03078F37"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There are no contraindications for LYNPARZA.</w:t>
            </w:r>
          </w:p>
          <w:p w14:paraId="540DD4A5" w14:textId="77777777" w:rsidR="00CE1524" w:rsidRPr="007A2F1C" w:rsidRDefault="00CE1524" w:rsidP="00CE1524">
            <w:pPr>
              <w:spacing w:after="0" w:line="240" w:lineRule="auto"/>
              <w:rPr>
                <w:rFonts w:ascii="Arial" w:hAnsi="Arial" w:cs="Arial"/>
                <w:sz w:val="20"/>
                <w:szCs w:val="20"/>
              </w:rPr>
            </w:pPr>
          </w:p>
          <w:p w14:paraId="31A3A978" w14:textId="77777777" w:rsidR="00CE1524" w:rsidRPr="007A2F1C" w:rsidRDefault="00CE1524" w:rsidP="00CE1524">
            <w:pPr>
              <w:spacing w:after="0" w:line="240" w:lineRule="auto"/>
              <w:rPr>
                <w:rFonts w:ascii="Arial" w:hAnsi="Arial" w:cs="Arial"/>
                <w:b/>
                <w:bCs/>
                <w:sz w:val="20"/>
                <w:szCs w:val="20"/>
              </w:rPr>
            </w:pPr>
            <w:r w:rsidRPr="007A2F1C">
              <w:rPr>
                <w:rFonts w:ascii="Arial" w:hAnsi="Arial" w:cs="Arial"/>
                <w:b/>
                <w:bCs/>
                <w:sz w:val="20"/>
                <w:szCs w:val="20"/>
              </w:rPr>
              <w:t>WARNINGS AND PRECAUTIONS </w:t>
            </w:r>
          </w:p>
          <w:p w14:paraId="6EA91DCF"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t>Myelodysplastic Syndrome/Acute Myeloid Leukemia (MDS/AML):</w:t>
            </w:r>
            <w:r w:rsidRPr="007A2F1C">
              <w:rPr>
                <w:rFonts w:ascii="Arial" w:hAnsi="Arial" w:cs="Arial"/>
                <w:sz w:val="20"/>
                <w:szCs w:val="20"/>
              </w:rPr>
              <w:t xml:space="preserve"> Occurred in approximately 1.2% of patients with various </w:t>
            </w:r>
            <w:proofErr w:type="spellStart"/>
            <w:r w:rsidRPr="007A2F1C">
              <w:rPr>
                <w:rFonts w:ascii="Arial" w:hAnsi="Arial" w:cs="Arial"/>
                <w:i/>
                <w:iCs/>
                <w:sz w:val="20"/>
                <w:szCs w:val="20"/>
              </w:rPr>
              <w:t>BRCA</w:t>
            </w:r>
            <w:r w:rsidRPr="007A2F1C">
              <w:rPr>
                <w:rFonts w:ascii="Arial" w:hAnsi="Arial" w:cs="Arial"/>
                <w:sz w:val="20"/>
                <w:szCs w:val="20"/>
              </w:rPr>
              <w:t>m</w:t>
            </w:r>
            <w:proofErr w:type="spellEnd"/>
            <w:r w:rsidRPr="007A2F1C">
              <w:rPr>
                <w:rFonts w:ascii="Arial" w:hAnsi="Arial" w:cs="Arial"/>
                <w:sz w:val="20"/>
                <w:szCs w:val="20"/>
              </w:rPr>
              <w:t xml:space="preserve">, </w:t>
            </w:r>
            <w:proofErr w:type="spellStart"/>
            <w:r w:rsidRPr="007A2F1C">
              <w:rPr>
                <w:rFonts w:ascii="Arial" w:hAnsi="Arial" w:cs="Arial"/>
                <w:sz w:val="20"/>
                <w:szCs w:val="20"/>
              </w:rPr>
              <w:t>g</w:t>
            </w:r>
            <w:r w:rsidRPr="007A2F1C">
              <w:rPr>
                <w:rFonts w:ascii="Arial" w:hAnsi="Arial" w:cs="Arial"/>
                <w:i/>
                <w:iCs/>
                <w:sz w:val="20"/>
                <w:szCs w:val="20"/>
              </w:rPr>
              <w:t>BRCA</w:t>
            </w:r>
            <w:r w:rsidRPr="007A2F1C">
              <w:rPr>
                <w:rFonts w:ascii="Arial" w:hAnsi="Arial" w:cs="Arial"/>
                <w:sz w:val="20"/>
                <w:szCs w:val="20"/>
              </w:rPr>
              <w:t>m</w:t>
            </w:r>
            <w:proofErr w:type="spellEnd"/>
            <w:r w:rsidRPr="007A2F1C">
              <w:rPr>
                <w:rFonts w:ascii="Arial" w:hAnsi="Arial" w:cs="Arial"/>
                <w:sz w:val="20"/>
                <w:szCs w:val="20"/>
              </w:rPr>
              <w:t xml:space="preserve">, HRR gene-mutated or HRD-positive </w:t>
            </w:r>
            <w:proofErr w:type="gramStart"/>
            <w:r w:rsidRPr="007A2F1C">
              <w:rPr>
                <w:rFonts w:ascii="Arial" w:hAnsi="Arial" w:cs="Arial"/>
                <w:sz w:val="20"/>
                <w:szCs w:val="20"/>
              </w:rPr>
              <w:t>cancers  who</w:t>
            </w:r>
            <w:proofErr w:type="gramEnd"/>
            <w:r w:rsidRPr="007A2F1C">
              <w:rPr>
                <w:rFonts w:ascii="Arial" w:hAnsi="Arial" w:cs="Arial"/>
                <w:sz w:val="20"/>
                <w:szCs w:val="20"/>
              </w:rPr>
              <w:t xml:space="preserve"> received LYNPARZA  as a single agent or as part of a combination regimen, consistent with the approved indications, and the majority of events had a fatal outcome. The median duration of therapy in patients who developed MDS/AML was approximately 2 years (range: &lt;6 months to &gt;</w:t>
            </w:r>
            <w:proofErr w:type="gramStart"/>
            <w:r w:rsidRPr="007A2F1C">
              <w:rPr>
                <w:rFonts w:ascii="Arial" w:hAnsi="Arial" w:cs="Arial"/>
                <w:sz w:val="20"/>
                <w:szCs w:val="20"/>
              </w:rPr>
              <w:t>4  years</w:t>
            </w:r>
            <w:proofErr w:type="gramEnd"/>
            <w:r w:rsidRPr="007A2F1C">
              <w:rPr>
                <w:rFonts w:ascii="Arial" w:hAnsi="Arial" w:cs="Arial"/>
                <w:sz w:val="20"/>
                <w:szCs w:val="20"/>
              </w:rPr>
              <w:t xml:space="preserve">). </w:t>
            </w:r>
            <w:proofErr w:type="gramStart"/>
            <w:r w:rsidRPr="007A2F1C">
              <w:rPr>
                <w:rFonts w:ascii="Arial" w:hAnsi="Arial" w:cs="Arial"/>
                <w:sz w:val="20"/>
                <w:szCs w:val="20"/>
              </w:rPr>
              <w:t>All of</w:t>
            </w:r>
            <w:proofErr w:type="gramEnd"/>
            <w:r w:rsidRPr="007A2F1C">
              <w:rPr>
                <w:rFonts w:ascii="Arial" w:hAnsi="Arial" w:cs="Arial"/>
                <w:sz w:val="20"/>
                <w:szCs w:val="20"/>
              </w:rPr>
              <w:t xml:space="preserve"> these patients had previous chemotherapy with platinum agents and/or other DNA-damaging agents, including radiotherapy.</w:t>
            </w:r>
          </w:p>
          <w:p w14:paraId="68E97765" w14:textId="77777777" w:rsidR="00CE1524" w:rsidRPr="007A2F1C" w:rsidRDefault="00CE1524" w:rsidP="00CE1524">
            <w:pPr>
              <w:spacing w:after="0" w:line="240" w:lineRule="auto"/>
              <w:rPr>
                <w:rFonts w:ascii="Arial" w:hAnsi="Arial" w:cs="Arial"/>
                <w:sz w:val="20"/>
                <w:szCs w:val="20"/>
              </w:rPr>
            </w:pPr>
          </w:p>
          <w:p w14:paraId="5F965ECB"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 xml:space="preserve">In SOLO-1, patients with newly diagnosed advanced </w:t>
            </w:r>
            <w:proofErr w:type="spellStart"/>
            <w:r w:rsidRPr="007A2F1C">
              <w:rPr>
                <w:rFonts w:ascii="Arial" w:hAnsi="Arial" w:cs="Arial"/>
                <w:i/>
                <w:iCs/>
                <w:sz w:val="20"/>
                <w:szCs w:val="20"/>
              </w:rPr>
              <w:t>BRCA</w:t>
            </w:r>
            <w:r w:rsidRPr="007A2F1C">
              <w:rPr>
                <w:rFonts w:ascii="Arial" w:hAnsi="Arial" w:cs="Arial"/>
                <w:sz w:val="20"/>
                <w:szCs w:val="20"/>
              </w:rPr>
              <w:t>m</w:t>
            </w:r>
            <w:proofErr w:type="spellEnd"/>
            <w:r w:rsidRPr="007A2F1C">
              <w:rPr>
                <w:rFonts w:ascii="Arial" w:hAnsi="Arial" w:cs="Arial"/>
                <w:sz w:val="20"/>
                <w:szCs w:val="20"/>
              </w:rPr>
              <w:t xml:space="preserve"> ovarian cancer, the incidence of MDS/AML was 1.9% (5/260) in patients who received LYNPARZA and 0.8% (1/130) in patients who received placebo based on an updated analysis. In PAOLA-1, of patients with newly diagnosed advanced ovarian cancer with HRD-positive status, the incidence of MDS/AML was 1.6% (4/255) in patients who received LYNPARZA and 2.3% (3/131) in the control arm.</w:t>
            </w:r>
          </w:p>
          <w:p w14:paraId="26BF6A50" w14:textId="77777777" w:rsidR="00CE1524" w:rsidRPr="007A2F1C" w:rsidRDefault="00CE1524" w:rsidP="00CE1524">
            <w:pPr>
              <w:spacing w:after="0" w:line="240" w:lineRule="auto"/>
              <w:rPr>
                <w:rFonts w:ascii="Arial" w:hAnsi="Arial" w:cs="Arial"/>
                <w:sz w:val="20"/>
                <w:szCs w:val="20"/>
              </w:rPr>
            </w:pPr>
          </w:p>
          <w:p w14:paraId="185E4D5E"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 xml:space="preserve">In SOLO-2, patients with </w:t>
            </w:r>
            <w:proofErr w:type="spellStart"/>
            <w:r w:rsidRPr="007A2F1C">
              <w:rPr>
                <w:rFonts w:ascii="Arial" w:hAnsi="Arial" w:cs="Arial"/>
                <w:i/>
                <w:iCs/>
                <w:sz w:val="20"/>
                <w:szCs w:val="20"/>
              </w:rPr>
              <w:t>BRCA</w:t>
            </w:r>
            <w:r w:rsidRPr="007A2F1C">
              <w:rPr>
                <w:rFonts w:ascii="Arial" w:hAnsi="Arial" w:cs="Arial"/>
                <w:sz w:val="20"/>
                <w:szCs w:val="20"/>
              </w:rPr>
              <w:t>m</w:t>
            </w:r>
            <w:proofErr w:type="spellEnd"/>
            <w:r w:rsidRPr="007A2F1C">
              <w:rPr>
                <w:rFonts w:ascii="Arial" w:hAnsi="Arial" w:cs="Arial"/>
                <w:sz w:val="20"/>
                <w:szCs w:val="20"/>
              </w:rPr>
              <w:t xml:space="preserve"> platinum-sensitive relapsed ovarian cancer, the incidence of MDS/AML was 8% (15/195) in patients who received LYNPARZA and 4% (4/99) in patients who received placebo. The duration of LYNPARZA treatment prior to the diagnosis of MDS/AML ranged from 0.6 years to 4.5 years. </w:t>
            </w:r>
          </w:p>
          <w:p w14:paraId="74CABB81" w14:textId="77777777" w:rsidR="00CE1524" w:rsidRPr="007A2F1C" w:rsidRDefault="00CE1524" w:rsidP="00CE1524">
            <w:pPr>
              <w:spacing w:after="0" w:line="240" w:lineRule="auto"/>
              <w:rPr>
                <w:rFonts w:ascii="Arial" w:hAnsi="Arial" w:cs="Arial"/>
                <w:sz w:val="20"/>
                <w:szCs w:val="20"/>
              </w:rPr>
            </w:pPr>
          </w:p>
          <w:p w14:paraId="20883216"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Do not start LYNPARZA until patients have recovered from hematological toxicity caused by previous chemotherapy (≤Grade 1). Monitor complete blood count for cytopenia at baseline and monthly thereafter for clinically significant changes during treatment. For prolonged hematological toxicities, interrupt LYNPARZA and monitor blood count weekly until recovery.</w:t>
            </w:r>
          </w:p>
          <w:p w14:paraId="23F630F6" w14:textId="77777777" w:rsidR="00CE1524" w:rsidRPr="007A2F1C" w:rsidRDefault="00CE1524" w:rsidP="00CE1524">
            <w:pPr>
              <w:spacing w:after="0" w:line="240" w:lineRule="auto"/>
              <w:rPr>
                <w:rFonts w:ascii="Arial" w:hAnsi="Arial" w:cs="Arial"/>
                <w:sz w:val="20"/>
                <w:szCs w:val="20"/>
              </w:rPr>
            </w:pPr>
          </w:p>
          <w:p w14:paraId="36C12555"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If the levels have not recovered to Grade 1 or less after 4 weeks, refer the patient to a hematologist for further investigations, including bone marrow analysis and blood sample for cytogenetics. Discontinue LYNPARZA if MDS/AML is confirmed.</w:t>
            </w:r>
          </w:p>
          <w:p w14:paraId="2AC21129" w14:textId="77777777" w:rsidR="00CE1524" w:rsidRPr="007A2F1C" w:rsidRDefault="00CE1524" w:rsidP="00CE1524">
            <w:pPr>
              <w:spacing w:after="0" w:line="240" w:lineRule="auto"/>
              <w:rPr>
                <w:rFonts w:ascii="Arial" w:hAnsi="Arial" w:cs="Arial"/>
                <w:sz w:val="20"/>
                <w:szCs w:val="20"/>
              </w:rPr>
            </w:pPr>
          </w:p>
          <w:p w14:paraId="72191F38"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t>Pneumonitis:</w:t>
            </w:r>
            <w:r w:rsidRPr="007A2F1C">
              <w:rPr>
                <w:rFonts w:ascii="Arial" w:hAnsi="Arial" w:cs="Arial"/>
                <w:sz w:val="20"/>
                <w:szCs w:val="20"/>
              </w:rPr>
              <w:t xml:space="preserve"> Occurred in 0.8% of patients exposed to LYNPARZA monotherapy, and some cases were fatal. If patients present with new or worsening respiratory symptoms such as dyspnea, cough, and fever, or a radiological abnormality occurs, interrupt LYNPARZA treatment and initiate prompt investigation. Discontinue LYNPARZA if pneumonitis is confirmed and treat patient appropriately.</w:t>
            </w:r>
          </w:p>
          <w:p w14:paraId="48CF9291" w14:textId="77777777" w:rsidR="00CE1524" w:rsidRPr="007A2F1C" w:rsidRDefault="00CE1524" w:rsidP="00CE1524">
            <w:pPr>
              <w:spacing w:after="0" w:line="240" w:lineRule="auto"/>
              <w:rPr>
                <w:rFonts w:ascii="Arial" w:hAnsi="Arial" w:cs="Arial"/>
                <w:sz w:val="20"/>
                <w:szCs w:val="20"/>
              </w:rPr>
            </w:pPr>
          </w:p>
          <w:p w14:paraId="5E369BD1" w14:textId="77777777" w:rsidR="00CE1524" w:rsidRPr="007A2F1C" w:rsidRDefault="00CE1524" w:rsidP="00CE1524">
            <w:pPr>
              <w:spacing w:after="0" w:line="240" w:lineRule="auto"/>
              <w:rPr>
                <w:rFonts w:ascii="Arial" w:hAnsi="Arial" w:cs="Arial"/>
                <w:color w:val="1D1D1D"/>
                <w:sz w:val="18"/>
                <w:szCs w:val="18"/>
                <w:shd w:val="clear" w:color="auto" w:fill="FFFFFF"/>
              </w:rPr>
            </w:pPr>
            <w:r w:rsidRPr="007A2F1C">
              <w:rPr>
                <w:rFonts w:ascii="Arial" w:hAnsi="Arial" w:cs="Arial"/>
                <w:b/>
                <w:bCs/>
                <w:sz w:val="20"/>
                <w:szCs w:val="20"/>
              </w:rPr>
              <w:t>Venous Thromboembolism (VTE):</w:t>
            </w:r>
            <w:r w:rsidRPr="007A2F1C">
              <w:rPr>
                <w:rFonts w:ascii="Arial" w:hAnsi="Arial" w:cs="Arial"/>
                <w:color w:val="1D1D1D"/>
                <w:sz w:val="18"/>
                <w:szCs w:val="18"/>
                <w:shd w:val="clear" w:color="auto" w:fill="FFFFFF"/>
              </w:rPr>
              <w:t xml:space="preserve"> </w:t>
            </w:r>
            <w:r w:rsidRPr="007A2F1C">
              <w:rPr>
                <w:rFonts w:ascii="Arial" w:hAnsi="Arial" w:cs="Arial"/>
                <w:sz w:val="20"/>
                <w:szCs w:val="20"/>
              </w:rPr>
              <w:t>Including severe or fatal pulmonary embolism (PE) occurred in patients treated with LYNPARZA. Monitor patients for signs and symptoms of venous thrombosis and pulmonary embolism, and treat as medically appropriate, which may include long-term anticoagulation as clinically indicated.</w:t>
            </w:r>
          </w:p>
          <w:p w14:paraId="70048447" w14:textId="77777777" w:rsidR="00CE1524" w:rsidRPr="007A2F1C" w:rsidRDefault="00CE1524" w:rsidP="00CE1524">
            <w:pPr>
              <w:spacing w:after="0" w:line="240" w:lineRule="auto"/>
              <w:rPr>
                <w:rFonts w:ascii="Arial" w:hAnsi="Arial" w:cs="Arial"/>
                <w:sz w:val="20"/>
                <w:szCs w:val="20"/>
              </w:rPr>
            </w:pPr>
          </w:p>
          <w:p w14:paraId="78539273"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t xml:space="preserve">Embryo-Fetal Toxicity: </w:t>
            </w:r>
            <w:r w:rsidRPr="007A2F1C">
              <w:rPr>
                <w:rFonts w:ascii="Arial" w:hAnsi="Arial" w:cs="Arial"/>
                <w:sz w:val="20"/>
                <w:szCs w:val="20"/>
              </w:rPr>
              <w:t xml:space="preserve">Based on its mechanism of action and findings in animals, LYNPARZA can cause fetal harm. Verify pregnancy status in females of reproductive potential prior to initiating treatment. </w:t>
            </w:r>
          </w:p>
          <w:p w14:paraId="39262CF4" w14:textId="77777777" w:rsidR="00CE1524" w:rsidRPr="007A2F1C" w:rsidRDefault="00CE1524" w:rsidP="00CE1524">
            <w:pPr>
              <w:spacing w:after="0" w:line="240" w:lineRule="auto"/>
              <w:rPr>
                <w:rFonts w:ascii="Arial" w:hAnsi="Arial" w:cs="Arial"/>
                <w:sz w:val="20"/>
                <w:szCs w:val="20"/>
              </w:rPr>
            </w:pPr>
          </w:p>
          <w:p w14:paraId="08976B21"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i/>
                <w:iCs/>
                <w:sz w:val="20"/>
                <w:szCs w:val="20"/>
              </w:rPr>
              <w:t>Females</w:t>
            </w:r>
            <w:r w:rsidRPr="007A2F1C">
              <w:rPr>
                <w:rFonts w:ascii="Arial" w:hAnsi="Arial" w:cs="Arial"/>
                <w:sz w:val="20"/>
                <w:szCs w:val="20"/>
              </w:rPr>
              <w:br/>
              <w:t>Advise females of reproductive potential of the potential risk to a fetus and to use effective contraception during treatment and for 6 months following the last dose.</w:t>
            </w:r>
          </w:p>
          <w:p w14:paraId="33F58657" w14:textId="77777777" w:rsidR="00CE1524" w:rsidRPr="007A2F1C" w:rsidRDefault="00CE1524" w:rsidP="00CE1524">
            <w:pPr>
              <w:spacing w:after="0" w:line="240" w:lineRule="auto"/>
              <w:rPr>
                <w:rFonts w:ascii="Arial" w:hAnsi="Arial" w:cs="Arial"/>
                <w:b/>
                <w:bCs/>
                <w:sz w:val="20"/>
                <w:szCs w:val="20"/>
              </w:rPr>
            </w:pPr>
            <w:r w:rsidRPr="007A2F1C">
              <w:rPr>
                <w:rFonts w:ascii="Arial" w:hAnsi="Arial" w:cs="Arial"/>
                <w:b/>
                <w:bCs/>
                <w:sz w:val="20"/>
                <w:szCs w:val="20"/>
              </w:rPr>
              <w:t xml:space="preserve">ADVERSE REACTIONS—First-Line Maintenance </w:t>
            </w:r>
            <w:proofErr w:type="spellStart"/>
            <w:r w:rsidRPr="007A2F1C">
              <w:rPr>
                <w:rFonts w:ascii="Arial" w:hAnsi="Arial" w:cs="Arial"/>
                <w:b/>
                <w:bCs/>
                <w:i/>
                <w:iCs/>
                <w:sz w:val="20"/>
                <w:szCs w:val="20"/>
              </w:rPr>
              <w:t>BRCA</w:t>
            </w:r>
            <w:r w:rsidRPr="007A2F1C">
              <w:rPr>
                <w:rFonts w:ascii="Arial" w:hAnsi="Arial" w:cs="Arial"/>
                <w:b/>
                <w:bCs/>
                <w:sz w:val="20"/>
                <w:szCs w:val="20"/>
              </w:rPr>
              <w:t>m</w:t>
            </w:r>
            <w:proofErr w:type="spellEnd"/>
            <w:r w:rsidRPr="007A2F1C">
              <w:rPr>
                <w:rFonts w:ascii="Arial" w:hAnsi="Arial" w:cs="Arial"/>
                <w:b/>
                <w:bCs/>
                <w:sz w:val="20"/>
                <w:szCs w:val="20"/>
              </w:rPr>
              <w:t xml:space="preserve"> Advanced Ovarian Cancer</w:t>
            </w:r>
          </w:p>
          <w:p w14:paraId="6D2F77AB"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lastRenderedPageBreak/>
              <w:t xml:space="preserve">Most common adverse reactions (Grades 1-4) in ≥10% of patients who received LYNPARZA in the </w:t>
            </w:r>
            <w:r w:rsidRPr="007A2F1C">
              <w:rPr>
                <w:rFonts w:ascii="Arial" w:hAnsi="Arial" w:cs="Arial"/>
                <w:b/>
                <w:bCs/>
                <w:sz w:val="20"/>
                <w:szCs w:val="20"/>
              </w:rPr>
              <w:t>first-line maintenance setting</w:t>
            </w:r>
            <w:r w:rsidRPr="007A2F1C">
              <w:rPr>
                <w:rFonts w:ascii="Arial" w:hAnsi="Arial" w:cs="Arial"/>
                <w:sz w:val="20"/>
                <w:szCs w:val="20"/>
              </w:rPr>
              <w:t xml:space="preserve"> for </w:t>
            </w:r>
            <w:r w:rsidRPr="007A2F1C">
              <w:rPr>
                <w:rFonts w:ascii="Arial" w:hAnsi="Arial" w:cs="Arial"/>
                <w:b/>
                <w:bCs/>
                <w:sz w:val="20"/>
                <w:szCs w:val="20"/>
              </w:rPr>
              <w:t>SOLO-1</w:t>
            </w:r>
            <w:r w:rsidRPr="007A2F1C">
              <w:rPr>
                <w:rFonts w:ascii="Arial" w:hAnsi="Arial" w:cs="Arial"/>
                <w:sz w:val="20"/>
                <w:szCs w:val="20"/>
              </w:rPr>
              <w:t xml:space="preserve"> were: nausea (77%), fatigue (67%), abdominal pain (45%), vomiting (40%), anemia (38%), diarrhea (37%), constipation (28%), upper respiratory tract infection/influenza/nasopharyngitis/bronchitis (28%), dysgeusia (26%), decreased appetite (20%), dizziness (20%), neutropenia (17%), dyspepsia (17%), dyspnea (15%), leukopenia (13%), urinary tract infection (13%), thrombocytopenia (11%), and stomatitis (11%).</w:t>
            </w:r>
          </w:p>
          <w:p w14:paraId="510EC093" w14:textId="77777777" w:rsidR="00CE1524" w:rsidRPr="007A2F1C" w:rsidRDefault="00CE1524" w:rsidP="00CE1524">
            <w:pPr>
              <w:spacing w:after="0" w:line="240" w:lineRule="auto"/>
              <w:rPr>
                <w:rFonts w:ascii="Arial" w:hAnsi="Arial" w:cs="Arial"/>
                <w:sz w:val="20"/>
                <w:szCs w:val="20"/>
              </w:rPr>
            </w:pPr>
          </w:p>
          <w:p w14:paraId="3DFE9F25"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 xml:space="preserve">Most common laboratory abnormalities (Grades 1-4) in ≥25% of patients who received LYNPARZA in the </w:t>
            </w:r>
            <w:r w:rsidRPr="007A2F1C">
              <w:rPr>
                <w:rFonts w:ascii="Arial" w:hAnsi="Arial" w:cs="Arial"/>
                <w:b/>
                <w:bCs/>
                <w:sz w:val="20"/>
                <w:szCs w:val="20"/>
              </w:rPr>
              <w:t>first-line maintenance setting</w:t>
            </w:r>
            <w:r w:rsidRPr="007A2F1C">
              <w:rPr>
                <w:rFonts w:ascii="Arial" w:hAnsi="Arial" w:cs="Arial"/>
                <w:sz w:val="20"/>
                <w:szCs w:val="20"/>
              </w:rPr>
              <w:t xml:space="preserve"> for </w:t>
            </w:r>
            <w:r w:rsidRPr="007A2F1C">
              <w:rPr>
                <w:rFonts w:ascii="Arial" w:hAnsi="Arial" w:cs="Arial"/>
                <w:b/>
                <w:bCs/>
                <w:sz w:val="20"/>
                <w:szCs w:val="20"/>
              </w:rPr>
              <w:t>SOLO-1</w:t>
            </w:r>
            <w:r w:rsidRPr="007A2F1C">
              <w:rPr>
                <w:rFonts w:ascii="Arial" w:hAnsi="Arial" w:cs="Arial"/>
                <w:sz w:val="20"/>
                <w:szCs w:val="20"/>
              </w:rPr>
              <w:t xml:space="preserve"> were: decrease in hemoglobin (87%), increase in mean corpuscular volume (87%), decrease in leukocytes (70%), decrease in lymphocytes (67%), decrease in absolute neutrophil count (51%), decrease in platelets (35%), and increase in serum creatinine (34%).</w:t>
            </w:r>
          </w:p>
          <w:p w14:paraId="6C2C1CD0" w14:textId="77777777" w:rsidR="00CE1524" w:rsidRPr="007A2F1C" w:rsidRDefault="00CE1524" w:rsidP="00CE1524">
            <w:pPr>
              <w:spacing w:after="0" w:line="240" w:lineRule="auto"/>
              <w:rPr>
                <w:rFonts w:ascii="Arial" w:hAnsi="Arial" w:cs="Arial"/>
                <w:sz w:val="20"/>
                <w:szCs w:val="20"/>
              </w:rPr>
            </w:pPr>
          </w:p>
          <w:p w14:paraId="735A579D" w14:textId="77777777" w:rsidR="00CE1524" w:rsidRPr="007A2F1C" w:rsidRDefault="00CE1524" w:rsidP="00CE1524">
            <w:pPr>
              <w:spacing w:after="0" w:line="240" w:lineRule="auto"/>
              <w:rPr>
                <w:rFonts w:ascii="Arial" w:hAnsi="Arial" w:cs="Arial"/>
                <w:b/>
                <w:bCs/>
                <w:sz w:val="20"/>
                <w:szCs w:val="20"/>
              </w:rPr>
            </w:pPr>
            <w:r w:rsidRPr="007A2F1C">
              <w:rPr>
                <w:rFonts w:ascii="Arial" w:hAnsi="Arial" w:cs="Arial"/>
                <w:b/>
                <w:bCs/>
                <w:sz w:val="20"/>
                <w:szCs w:val="20"/>
              </w:rPr>
              <w:t>ADVERSE REACTIONS—First-Line Maintenance Advanced Ovarian Cancer in Combination with Bevacizumab </w:t>
            </w:r>
          </w:p>
          <w:p w14:paraId="6BE00C35"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 xml:space="preserve">Most common adverse reactions (Grades 1-4) in ≥10% of patients treated with LYNPARZA/bevacizumab and at a ≥5% frequency compared to placebo/bevacizumab in the </w:t>
            </w:r>
            <w:r w:rsidRPr="007A2F1C">
              <w:rPr>
                <w:rFonts w:ascii="Arial" w:hAnsi="Arial" w:cs="Arial"/>
                <w:b/>
                <w:bCs/>
                <w:sz w:val="20"/>
                <w:szCs w:val="20"/>
              </w:rPr>
              <w:t>first-line maintenance setting</w:t>
            </w:r>
            <w:r w:rsidRPr="007A2F1C">
              <w:rPr>
                <w:rFonts w:ascii="Arial" w:hAnsi="Arial" w:cs="Arial"/>
                <w:sz w:val="20"/>
                <w:szCs w:val="20"/>
              </w:rPr>
              <w:t xml:space="preserve"> for </w:t>
            </w:r>
            <w:r w:rsidRPr="007A2F1C">
              <w:rPr>
                <w:rFonts w:ascii="Arial" w:hAnsi="Arial" w:cs="Arial"/>
                <w:b/>
                <w:bCs/>
                <w:sz w:val="20"/>
                <w:szCs w:val="20"/>
              </w:rPr>
              <w:t>PAOLA-1</w:t>
            </w:r>
            <w:r w:rsidRPr="007A2F1C">
              <w:rPr>
                <w:rFonts w:ascii="Arial" w:hAnsi="Arial" w:cs="Arial"/>
                <w:sz w:val="20"/>
                <w:szCs w:val="20"/>
              </w:rPr>
              <w:t xml:space="preserve"> were: nausea (53%), fatigue (including asthenia) (53%), anemia (41%), lymphopenia (24%), vomiting (22%), and leukopenia (18%). In addition, the most common adverse reactions (≥10%) for patients receiving LYNPARZA/bevacizumab irrespective of the frequency compared with the placebo/bevacizumab arm </w:t>
            </w:r>
            <w:proofErr w:type="gramStart"/>
            <w:r w:rsidRPr="007A2F1C">
              <w:rPr>
                <w:rFonts w:ascii="Arial" w:hAnsi="Arial" w:cs="Arial"/>
                <w:sz w:val="20"/>
                <w:szCs w:val="20"/>
              </w:rPr>
              <w:t>were:</w:t>
            </w:r>
            <w:proofErr w:type="gramEnd"/>
            <w:r w:rsidRPr="007A2F1C">
              <w:rPr>
                <w:rFonts w:ascii="Arial" w:hAnsi="Arial" w:cs="Arial"/>
                <w:sz w:val="20"/>
                <w:szCs w:val="20"/>
              </w:rPr>
              <w:t xml:space="preserve"> diarrhea (18%), neutropenia (18%), urinary tract infection (15%), and headache (14%). </w:t>
            </w:r>
          </w:p>
          <w:p w14:paraId="0D4135EF" w14:textId="77777777" w:rsidR="00CE1524" w:rsidRPr="007A2F1C" w:rsidRDefault="00CE1524" w:rsidP="00CE1524">
            <w:pPr>
              <w:spacing w:after="0" w:line="240" w:lineRule="auto"/>
              <w:rPr>
                <w:rFonts w:ascii="Arial" w:hAnsi="Arial" w:cs="Arial"/>
                <w:sz w:val="20"/>
                <w:szCs w:val="20"/>
              </w:rPr>
            </w:pPr>
          </w:p>
          <w:p w14:paraId="19BEBBDD"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In addition, venous thromboembolism occurred more commonly in patients receiving LYNPARZA/bevacizumab (5%) than in those receiving placebo/bevacizumab (1.9%). </w:t>
            </w:r>
          </w:p>
          <w:p w14:paraId="4539BCF1" w14:textId="77777777" w:rsidR="00CE1524" w:rsidRPr="007A2F1C" w:rsidRDefault="00CE1524" w:rsidP="00CE1524">
            <w:pPr>
              <w:spacing w:after="0" w:line="240" w:lineRule="auto"/>
              <w:rPr>
                <w:rFonts w:ascii="Arial" w:hAnsi="Arial" w:cs="Arial"/>
                <w:sz w:val="20"/>
                <w:szCs w:val="20"/>
              </w:rPr>
            </w:pPr>
          </w:p>
          <w:p w14:paraId="5312311B"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 xml:space="preserve">Most common laboratory abnormalities (Grades 1-4) in ≥25% of patients for LYNPARZA in combination with bevacizumab in the </w:t>
            </w:r>
            <w:r w:rsidRPr="007A2F1C">
              <w:rPr>
                <w:rFonts w:ascii="Arial" w:hAnsi="Arial" w:cs="Arial"/>
                <w:b/>
                <w:bCs/>
                <w:sz w:val="20"/>
                <w:szCs w:val="20"/>
              </w:rPr>
              <w:t>first-line maintenance setting</w:t>
            </w:r>
            <w:r w:rsidRPr="007A2F1C">
              <w:rPr>
                <w:rFonts w:ascii="Arial" w:hAnsi="Arial" w:cs="Arial"/>
                <w:sz w:val="20"/>
                <w:szCs w:val="20"/>
              </w:rPr>
              <w:t xml:space="preserve"> for </w:t>
            </w:r>
            <w:r w:rsidRPr="007A2F1C">
              <w:rPr>
                <w:rFonts w:ascii="Arial" w:hAnsi="Arial" w:cs="Arial"/>
                <w:b/>
                <w:bCs/>
                <w:sz w:val="20"/>
                <w:szCs w:val="20"/>
              </w:rPr>
              <w:t>PAOLA-1</w:t>
            </w:r>
            <w:r w:rsidRPr="007A2F1C">
              <w:rPr>
                <w:rFonts w:ascii="Arial" w:hAnsi="Arial" w:cs="Arial"/>
                <w:sz w:val="20"/>
                <w:szCs w:val="20"/>
              </w:rPr>
              <w:t xml:space="preserve"> were: decrease in hemoglobin (79%), decrease in lymphocytes (63%), increase in serum creatinine (61%), decrease in leukocytes (59%), decrease in absolute neutrophil count (35%), and decrease in platelets (35%).</w:t>
            </w:r>
          </w:p>
          <w:p w14:paraId="7BF2C48D" w14:textId="77777777" w:rsidR="00CE1524" w:rsidRPr="007A2F1C" w:rsidRDefault="00CE1524" w:rsidP="00CE1524">
            <w:pPr>
              <w:spacing w:after="0" w:line="240" w:lineRule="auto"/>
              <w:rPr>
                <w:rFonts w:ascii="Arial" w:hAnsi="Arial" w:cs="Arial"/>
                <w:sz w:val="20"/>
                <w:szCs w:val="20"/>
              </w:rPr>
            </w:pPr>
          </w:p>
          <w:p w14:paraId="2B6B5D12" w14:textId="77777777" w:rsidR="00CE1524" w:rsidRPr="007A2F1C" w:rsidRDefault="00CE1524" w:rsidP="00CE1524">
            <w:pPr>
              <w:spacing w:after="0" w:line="240" w:lineRule="auto"/>
              <w:rPr>
                <w:rFonts w:ascii="Arial" w:hAnsi="Arial" w:cs="Arial"/>
                <w:b/>
                <w:bCs/>
                <w:sz w:val="20"/>
                <w:szCs w:val="20"/>
              </w:rPr>
            </w:pPr>
            <w:r w:rsidRPr="007A2F1C">
              <w:rPr>
                <w:rFonts w:ascii="Arial" w:hAnsi="Arial" w:cs="Arial"/>
                <w:b/>
                <w:bCs/>
                <w:sz w:val="20"/>
                <w:szCs w:val="20"/>
              </w:rPr>
              <w:t xml:space="preserve">ADVERSE REACTIONS—Maintenance </w:t>
            </w:r>
            <w:proofErr w:type="spellStart"/>
            <w:r w:rsidRPr="007A2F1C">
              <w:rPr>
                <w:rFonts w:ascii="Arial" w:hAnsi="Arial" w:cs="Arial"/>
                <w:b/>
                <w:bCs/>
                <w:sz w:val="20"/>
                <w:szCs w:val="20"/>
              </w:rPr>
              <w:t>g</w:t>
            </w:r>
            <w:r w:rsidRPr="007A2F1C">
              <w:rPr>
                <w:rFonts w:ascii="Arial" w:hAnsi="Arial" w:cs="Arial"/>
                <w:b/>
                <w:bCs/>
                <w:i/>
                <w:iCs/>
                <w:sz w:val="20"/>
                <w:szCs w:val="20"/>
              </w:rPr>
              <w:t>BRCA</w:t>
            </w:r>
            <w:r w:rsidRPr="007A2F1C">
              <w:rPr>
                <w:rFonts w:ascii="Arial" w:hAnsi="Arial" w:cs="Arial"/>
                <w:b/>
                <w:bCs/>
                <w:sz w:val="20"/>
                <w:szCs w:val="20"/>
              </w:rPr>
              <w:t>m</w:t>
            </w:r>
            <w:proofErr w:type="spellEnd"/>
            <w:r w:rsidRPr="007A2F1C">
              <w:rPr>
                <w:rFonts w:ascii="Arial" w:hAnsi="Arial" w:cs="Arial"/>
                <w:b/>
                <w:bCs/>
                <w:sz w:val="20"/>
                <w:szCs w:val="20"/>
              </w:rPr>
              <w:t xml:space="preserve"> Recurrent Ovarian Cancer </w:t>
            </w:r>
          </w:p>
          <w:p w14:paraId="50DE3B27"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 xml:space="preserve">Most common adverse reactions (Grades 1-4) in ≥20% of patients who received LYNPARZA in the </w:t>
            </w:r>
            <w:r w:rsidRPr="007A2F1C">
              <w:rPr>
                <w:rFonts w:ascii="Arial" w:hAnsi="Arial" w:cs="Arial"/>
                <w:b/>
                <w:bCs/>
                <w:sz w:val="20"/>
                <w:szCs w:val="20"/>
              </w:rPr>
              <w:t>maintenance setting</w:t>
            </w:r>
            <w:r w:rsidRPr="007A2F1C">
              <w:rPr>
                <w:rFonts w:ascii="Arial" w:hAnsi="Arial" w:cs="Arial"/>
                <w:sz w:val="20"/>
                <w:szCs w:val="20"/>
              </w:rPr>
              <w:t xml:space="preserve"> for </w:t>
            </w:r>
            <w:r w:rsidRPr="007A2F1C">
              <w:rPr>
                <w:rFonts w:ascii="Arial" w:hAnsi="Arial" w:cs="Arial"/>
                <w:b/>
                <w:bCs/>
                <w:sz w:val="20"/>
                <w:szCs w:val="20"/>
              </w:rPr>
              <w:t>SOLO-2</w:t>
            </w:r>
            <w:r w:rsidRPr="007A2F1C">
              <w:rPr>
                <w:rFonts w:ascii="Arial" w:hAnsi="Arial" w:cs="Arial"/>
                <w:sz w:val="20"/>
                <w:szCs w:val="20"/>
              </w:rPr>
              <w:t xml:space="preserve"> were: nausea (76%), fatigue (including asthenia) (66%), anemia (44%), vomiting (37%), nasopharyngitis/upper respiratory tract infection (URI)/influenza (36%), diarrhea (33%), arthralgia/myalgia (30%), dysgeusia (27%), headache (26%), decreased appetite (22%), and stomatitis (20%).</w:t>
            </w:r>
          </w:p>
          <w:p w14:paraId="7890292C" w14:textId="77777777" w:rsidR="00CE1524" w:rsidRPr="007A2F1C" w:rsidRDefault="00CE1524" w:rsidP="00CE1524">
            <w:pPr>
              <w:spacing w:after="0" w:line="240" w:lineRule="auto"/>
              <w:rPr>
                <w:rFonts w:ascii="Arial" w:hAnsi="Arial" w:cs="Arial"/>
                <w:sz w:val="20"/>
                <w:szCs w:val="20"/>
              </w:rPr>
            </w:pPr>
          </w:p>
          <w:p w14:paraId="4D886D4D"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 xml:space="preserve">Most common laboratory abnormalities (Grades 1-4) in ≥25% of patients who received LYNPARZA in the </w:t>
            </w:r>
            <w:r w:rsidRPr="007A2F1C">
              <w:rPr>
                <w:rFonts w:ascii="Arial" w:hAnsi="Arial" w:cs="Arial"/>
                <w:b/>
                <w:bCs/>
                <w:sz w:val="20"/>
                <w:szCs w:val="20"/>
              </w:rPr>
              <w:t>maintenance setting</w:t>
            </w:r>
            <w:r w:rsidRPr="007A2F1C">
              <w:rPr>
                <w:rFonts w:ascii="Arial" w:hAnsi="Arial" w:cs="Arial"/>
                <w:sz w:val="20"/>
                <w:szCs w:val="20"/>
              </w:rPr>
              <w:t xml:space="preserve"> for </w:t>
            </w:r>
            <w:r w:rsidRPr="007A2F1C">
              <w:rPr>
                <w:rFonts w:ascii="Arial" w:hAnsi="Arial" w:cs="Arial"/>
                <w:b/>
                <w:bCs/>
                <w:sz w:val="20"/>
                <w:szCs w:val="20"/>
              </w:rPr>
              <w:t>SOLO-2</w:t>
            </w:r>
            <w:r w:rsidRPr="007A2F1C">
              <w:rPr>
                <w:rFonts w:ascii="Arial" w:hAnsi="Arial" w:cs="Arial"/>
                <w:sz w:val="20"/>
                <w:szCs w:val="20"/>
              </w:rPr>
              <w:t xml:space="preserve"> were: increase in mean corpuscular volume (89%), decrease in hemoglobin (83%), decrease in leukocytes (69%), decrease in lymphocytes (67%), decrease in absolute neutrophil count (51%), increase in serum creatinine (44%), and decrease in platelets (42%).</w:t>
            </w:r>
          </w:p>
          <w:p w14:paraId="05D6079B" w14:textId="77777777" w:rsidR="00CE1524" w:rsidRPr="007A2F1C" w:rsidRDefault="00CE1524" w:rsidP="00CE1524">
            <w:pPr>
              <w:spacing w:after="0" w:line="240" w:lineRule="auto"/>
              <w:rPr>
                <w:rFonts w:ascii="Arial" w:hAnsi="Arial" w:cs="Arial"/>
                <w:b/>
                <w:bCs/>
                <w:sz w:val="20"/>
                <w:szCs w:val="20"/>
              </w:rPr>
            </w:pPr>
          </w:p>
          <w:p w14:paraId="7EEE769C" w14:textId="77777777" w:rsidR="00CE1524" w:rsidRPr="007A2F1C" w:rsidRDefault="00CE1524" w:rsidP="00CE1524">
            <w:pPr>
              <w:spacing w:after="0" w:line="240" w:lineRule="auto"/>
              <w:rPr>
                <w:rFonts w:ascii="Arial" w:hAnsi="Arial" w:cs="Arial"/>
                <w:b/>
                <w:bCs/>
                <w:sz w:val="20"/>
                <w:szCs w:val="20"/>
              </w:rPr>
            </w:pPr>
            <w:r w:rsidRPr="007A2F1C">
              <w:rPr>
                <w:rFonts w:ascii="Arial" w:hAnsi="Arial" w:cs="Arial"/>
                <w:b/>
                <w:bCs/>
                <w:sz w:val="20"/>
                <w:szCs w:val="20"/>
              </w:rPr>
              <w:t>DRUG INTERACTIONS</w:t>
            </w:r>
          </w:p>
          <w:p w14:paraId="1D492C72"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t>Anticancer Agents:</w:t>
            </w:r>
            <w:r w:rsidRPr="007A2F1C">
              <w:rPr>
                <w:rFonts w:ascii="Arial" w:hAnsi="Arial" w:cs="Arial"/>
                <w:sz w:val="20"/>
                <w:szCs w:val="20"/>
              </w:rPr>
              <w:t xml:space="preserve"> Clinical studies of LYNPARZA with other myelosuppressive anticancer agents, including DNA-damaging agents, indicate a potentiation and prolongation of myelosuppressive toxicity.</w:t>
            </w:r>
          </w:p>
          <w:p w14:paraId="1B3AC8F0" w14:textId="77777777" w:rsidR="00CE1524" w:rsidRPr="007A2F1C" w:rsidRDefault="00CE1524" w:rsidP="00CE1524">
            <w:pPr>
              <w:spacing w:after="0" w:line="240" w:lineRule="auto"/>
              <w:rPr>
                <w:rFonts w:ascii="Arial" w:hAnsi="Arial" w:cs="Arial"/>
                <w:sz w:val="20"/>
                <w:szCs w:val="20"/>
              </w:rPr>
            </w:pPr>
          </w:p>
          <w:p w14:paraId="393B6984"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t>CYP3A Inhibitors:</w:t>
            </w:r>
            <w:r w:rsidRPr="007A2F1C">
              <w:rPr>
                <w:rFonts w:ascii="Arial" w:hAnsi="Arial" w:cs="Arial"/>
                <w:sz w:val="20"/>
                <w:szCs w:val="20"/>
              </w:rPr>
              <w:t xml:space="preserve"> Avoid coadministration of strong or moderate CYP3A inhibitors when using LYNPARZA. If a strong or moderate CYP3A inhibitor must be </w:t>
            </w:r>
            <w:proofErr w:type="spellStart"/>
            <w:r w:rsidRPr="007A2F1C">
              <w:rPr>
                <w:rFonts w:ascii="Arial" w:hAnsi="Arial" w:cs="Arial"/>
                <w:sz w:val="20"/>
                <w:szCs w:val="20"/>
              </w:rPr>
              <w:t>coadministered</w:t>
            </w:r>
            <w:proofErr w:type="spellEnd"/>
            <w:r w:rsidRPr="007A2F1C">
              <w:rPr>
                <w:rFonts w:ascii="Arial" w:hAnsi="Arial" w:cs="Arial"/>
                <w:sz w:val="20"/>
                <w:szCs w:val="20"/>
              </w:rPr>
              <w:t>, reduce the dose of LYNPARZA. Advise patients to avoid grapefruit, grapefruit juice, Seville oranges, and Seville orange juice during LYNPARZA treatment.</w:t>
            </w:r>
          </w:p>
          <w:p w14:paraId="374BCDFC"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t>CYP3A Inducers:</w:t>
            </w:r>
            <w:r w:rsidRPr="007A2F1C">
              <w:rPr>
                <w:rFonts w:ascii="Arial" w:hAnsi="Arial" w:cs="Arial"/>
                <w:sz w:val="20"/>
                <w:szCs w:val="20"/>
              </w:rPr>
              <w:t xml:space="preserve"> Avoid coadministration of strong or moderate CYP3A inducers when using LYNPARZA.</w:t>
            </w:r>
          </w:p>
          <w:p w14:paraId="722A1F00" w14:textId="77777777" w:rsidR="00CE1524" w:rsidRPr="007A2F1C" w:rsidRDefault="00CE1524" w:rsidP="00CE1524">
            <w:pPr>
              <w:spacing w:after="0" w:line="240" w:lineRule="auto"/>
              <w:rPr>
                <w:rFonts w:ascii="Arial" w:hAnsi="Arial" w:cs="Arial"/>
                <w:sz w:val="20"/>
                <w:szCs w:val="20"/>
              </w:rPr>
            </w:pPr>
          </w:p>
          <w:p w14:paraId="54F436C3" w14:textId="77777777" w:rsidR="00CE1524" w:rsidRPr="007A2F1C" w:rsidRDefault="00CE1524" w:rsidP="00CE1524">
            <w:pPr>
              <w:spacing w:after="0" w:line="240" w:lineRule="auto"/>
              <w:rPr>
                <w:rFonts w:ascii="Arial" w:hAnsi="Arial" w:cs="Arial"/>
                <w:b/>
                <w:bCs/>
                <w:sz w:val="20"/>
                <w:szCs w:val="20"/>
              </w:rPr>
            </w:pPr>
            <w:r w:rsidRPr="007A2F1C">
              <w:rPr>
                <w:rFonts w:ascii="Arial" w:hAnsi="Arial" w:cs="Arial"/>
                <w:b/>
                <w:bCs/>
                <w:sz w:val="20"/>
                <w:szCs w:val="20"/>
              </w:rPr>
              <w:t>USE IN SPECIFIC POPULATIONS</w:t>
            </w:r>
          </w:p>
          <w:p w14:paraId="37E5C91B"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lastRenderedPageBreak/>
              <w:t>Lactation:</w:t>
            </w:r>
            <w:r w:rsidRPr="007A2F1C">
              <w:rPr>
                <w:rFonts w:ascii="Arial" w:hAnsi="Arial" w:cs="Arial"/>
                <w:sz w:val="20"/>
                <w:szCs w:val="20"/>
              </w:rPr>
              <w:t xml:space="preserve"> No data are available regarding the presence of </w:t>
            </w:r>
            <w:proofErr w:type="spellStart"/>
            <w:r w:rsidRPr="007A2F1C">
              <w:rPr>
                <w:rFonts w:ascii="Arial" w:hAnsi="Arial" w:cs="Arial"/>
                <w:sz w:val="20"/>
                <w:szCs w:val="20"/>
              </w:rPr>
              <w:t>olaparib</w:t>
            </w:r>
            <w:proofErr w:type="spellEnd"/>
            <w:r w:rsidRPr="007A2F1C">
              <w:rPr>
                <w:rFonts w:ascii="Arial" w:hAnsi="Arial" w:cs="Arial"/>
                <w:sz w:val="20"/>
                <w:szCs w:val="20"/>
              </w:rPr>
              <w:t xml:space="preserve"> in human milk, its effects on the breastfed infant or on milk production. Because of the potential for serious adverse reactions in the breastfed infant, advise a lactating woman not to breastfeed during treatment with LYNPARZA and for 1 month after receiving the final dose. </w:t>
            </w:r>
          </w:p>
          <w:p w14:paraId="0560EABA" w14:textId="77777777" w:rsidR="00CE1524" w:rsidRPr="007A2F1C" w:rsidRDefault="00CE1524" w:rsidP="00CE1524">
            <w:pPr>
              <w:spacing w:after="0" w:line="240" w:lineRule="auto"/>
              <w:rPr>
                <w:rFonts w:ascii="Arial" w:hAnsi="Arial" w:cs="Arial"/>
                <w:sz w:val="20"/>
                <w:szCs w:val="20"/>
              </w:rPr>
            </w:pPr>
          </w:p>
          <w:p w14:paraId="721993D8"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t>Pediatric Use:</w:t>
            </w:r>
            <w:r w:rsidRPr="007A2F1C">
              <w:rPr>
                <w:rFonts w:ascii="Arial" w:hAnsi="Arial" w:cs="Arial"/>
                <w:sz w:val="20"/>
                <w:szCs w:val="20"/>
              </w:rPr>
              <w:t xml:space="preserve"> The safety and efficacy of LYNPARZA have not been established in pediatric patients.</w:t>
            </w:r>
          </w:p>
          <w:p w14:paraId="5A49C119" w14:textId="77777777" w:rsidR="00CE1524" w:rsidRPr="007A2F1C" w:rsidRDefault="00CE1524" w:rsidP="00CE1524">
            <w:pPr>
              <w:spacing w:after="0" w:line="240" w:lineRule="auto"/>
              <w:rPr>
                <w:rFonts w:ascii="Arial" w:hAnsi="Arial" w:cs="Arial"/>
                <w:sz w:val="20"/>
                <w:szCs w:val="20"/>
              </w:rPr>
            </w:pPr>
          </w:p>
          <w:p w14:paraId="5A81D132"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t>Hepatic Impairment:</w:t>
            </w:r>
            <w:r w:rsidRPr="007A2F1C">
              <w:rPr>
                <w:rFonts w:ascii="Arial" w:hAnsi="Arial" w:cs="Arial"/>
                <w:sz w:val="20"/>
                <w:szCs w:val="20"/>
              </w:rPr>
              <w:t xml:space="preserve"> No adjustment to the starting dose is required in patients with mild or moderate hepatic impairment (Child-Pugh classification A and B). There are no data in patients with severe hepatic impairment (Child-Pugh classification C).</w:t>
            </w:r>
          </w:p>
          <w:p w14:paraId="41434155" w14:textId="77777777" w:rsidR="00CE1524" w:rsidRPr="007A2F1C" w:rsidRDefault="00CE1524" w:rsidP="00CE1524">
            <w:pPr>
              <w:spacing w:after="0" w:line="240" w:lineRule="auto"/>
              <w:rPr>
                <w:rFonts w:ascii="Arial" w:hAnsi="Arial" w:cs="Arial"/>
                <w:sz w:val="20"/>
                <w:szCs w:val="20"/>
              </w:rPr>
            </w:pPr>
          </w:p>
          <w:p w14:paraId="4C2E2F5F"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t>Renal Impairment:</w:t>
            </w:r>
            <w:r w:rsidRPr="007A2F1C">
              <w:rPr>
                <w:rFonts w:ascii="Arial" w:hAnsi="Arial" w:cs="Arial"/>
                <w:sz w:val="20"/>
                <w:szCs w:val="20"/>
              </w:rPr>
              <w:t xml:space="preserve"> No dosage modification is recommended in patients with mild renal impairment (</w:t>
            </w:r>
            <w:proofErr w:type="spellStart"/>
            <w:r w:rsidRPr="007A2F1C">
              <w:rPr>
                <w:rFonts w:ascii="Arial" w:hAnsi="Arial" w:cs="Arial"/>
                <w:sz w:val="20"/>
                <w:szCs w:val="20"/>
              </w:rPr>
              <w:t>CLcr</w:t>
            </w:r>
            <w:proofErr w:type="spellEnd"/>
            <w:r w:rsidRPr="007A2F1C">
              <w:rPr>
                <w:rFonts w:ascii="Arial" w:hAnsi="Arial" w:cs="Arial"/>
                <w:sz w:val="20"/>
                <w:szCs w:val="20"/>
              </w:rPr>
              <w:t xml:space="preserve"> 51-80 mL/min estimated by Cockcroft-Gault). In patients with moderate renal impairment (</w:t>
            </w:r>
            <w:proofErr w:type="spellStart"/>
            <w:r w:rsidRPr="007A2F1C">
              <w:rPr>
                <w:rFonts w:ascii="Arial" w:hAnsi="Arial" w:cs="Arial"/>
                <w:sz w:val="20"/>
                <w:szCs w:val="20"/>
              </w:rPr>
              <w:t>CLcr</w:t>
            </w:r>
            <w:proofErr w:type="spellEnd"/>
            <w:r w:rsidRPr="007A2F1C">
              <w:rPr>
                <w:rFonts w:ascii="Arial" w:hAnsi="Arial" w:cs="Arial"/>
                <w:sz w:val="20"/>
                <w:szCs w:val="20"/>
              </w:rPr>
              <w:t xml:space="preserve"> 31-50 mL/min), reduce the dose of LYNPARZA to 200 mg twice daily. There are no data in patients with severe renal impairment or end-stage renal disease (</w:t>
            </w:r>
            <w:proofErr w:type="spellStart"/>
            <w:r w:rsidRPr="007A2F1C">
              <w:rPr>
                <w:rFonts w:ascii="Arial" w:hAnsi="Arial" w:cs="Arial"/>
                <w:sz w:val="20"/>
                <w:szCs w:val="20"/>
              </w:rPr>
              <w:t>CLcr</w:t>
            </w:r>
            <w:proofErr w:type="spellEnd"/>
            <w:r w:rsidRPr="007A2F1C">
              <w:rPr>
                <w:rFonts w:ascii="Arial" w:hAnsi="Arial" w:cs="Arial"/>
                <w:sz w:val="20"/>
                <w:szCs w:val="20"/>
              </w:rPr>
              <w:t xml:space="preserve"> ≤30 mL/min).</w:t>
            </w:r>
          </w:p>
          <w:p w14:paraId="22DC3305" w14:textId="77777777" w:rsidR="00CE1524" w:rsidRPr="007A2F1C" w:rsidRDefault="00CE1524" w:rsidP="00CE1524">
            <w:pPr>
              <w:spacing w:after="0" w:line="240" w:lineRule="auto"/>
              <w:rPr>
                <w:rFonts w:ascii="Arial" w:hAnsi="Arial" w:cs="Arial"/>
                <w:b/>
                <w:bCs/>
                <w:sz w:val="20"/>
                <w:szCs w:val="20"/>
              </w:rPr>
            </w:pPr>
          </w:p>
          <w:p w14:paraId="749E02AE" w14:textId="77777777" w:rsidR="00CE1524" w:rsidRPr="007A2F1C" w:rsidRDefault="00CE1524" w:rsidP="00CE1524">
            <w:pPr>
              <w:spacing w:after="0" w:line="240" w:lineRule="auto"/>
              <w:rPr>
                <w:rFonts w:ascii="Arial" w:hAnsi="Arial" w:cs="Arial"/>
                <w:b/>
                <w:bCs/>
                <w:sz w:val="20"/>
                <w:szCs w:val="20"/>
              </w:rPr>
            </w:pPr>
            <w:r w:rsidRPr="007A2F1C">
              <w:rPr>
                <w:rFonts w:ascii="Arial" w:hAnsi="Arial" w:cs="Arial"/>
                <w:b/>
                <w:bCs/>
                <w:sz w:val="20"/>
                <w:szCs w:val="20"/>
              </w:rPr>
              <w:t>INDICATIONS</w:t>
            </w:r>
          </w:p>
          <w:p w14:paraId="6CD9D26E"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 xml:space="preserve">LYNPARZA is a poly (ADP-ribose) polymerase (PARP) inhibitor indicated: </w:t>
            </w:r>
          </w:p>
          <w:p w14:paraId="7B6AC4A9" w14:textId="77777777" w:rsidR="00CE1524" w:rsidRPr="007A2F1C" w:rsidRDefault="00CE1524" w:rsidP="00CE1524">
            <w:pPr>
              <w:spacing w:after="0" w:line="240" w:lineRule="auto"/>
              <w:rPr>
                <w:rFonts w:ascii="Arial" w:hAnsi="Arial" w:cs="Arial"/>
                <w:sz w:val="20"/>
                <w:szCs w:val="20"/>
              </w:rPr>
            </w:pPr>
          </w:p>
          <w:p w14:paraId="4A078D97"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t xml:space="preserve">First-Line Maintenance </w:t>
            </w:r>
            <w:proofErr w:type="spellStart"/>
            <w:r w:rsidRPr="007A2F1C">
              <w:rPr>
                <w:rFonts w:ascii="Arial" w:hAnsi="Arial" w:cs="Arial"/>
                <w:b/>
                <w:bCs/>
                <w:i/>
                <w:iCs/>
                <w:sz w:val="20"/>
                <w:szCs w:val="20"/>
              </w:rPr>
              <w:t>BRCA</w:t>
            </w:r>
            <w:r w:rsidRPr="007A2F1C">
              <w:rPr>
                <w:rFonts w:ascii="Arial" w:hAnsi="Arial" w:cs="Arial"/>
                <w:b/>
                <w:bCs/>
                <w:sz w:val="20"/>
                <w:szCs w:val="20"/>
              </w:rPr>
              <w:t>m</w:t>
            </w:r>
            <w:proofErr w:type="spellEnd"/>
            <w:r w:rsidRPr="007A2F1C">
              <w:rPr>
                <w:rFonts w:ascii="Arial" w:hAnsi="Arial" w:cs="Arial"/>
                <w:b/>
                <w:bCs/>
                <w:sz w:val="20"/>
                <w:szCs w:val="20"/>
              </w:rPr>
              <w:t xml:space="preserve"> Advanced Ovarian Cancer</w:t>
            </w:r>
            <w:r w:rsidRPr="007A2F1C">
              <w:rPr>
                <w:rFonts w:ascii="Arial" w:hAnsi="Arial" w:cs="Arial"/>
                <w:sz w:val="20"/>
                <w:szCs w:val="20"/>
              </w:rPr>
              <w:br/>
              <w:t xml:space="preserve">For the maintenance treatment of adult patients with deleterious or suspected deleterious germline or somatic </w:t>
            </w:r>
            <w:r w:rsidRPr="007A2F1C">
              <w:rPr>
                <w:rFonts w:ascii="Arial" w:hAnsi="Arial" w:cs="Arial"/>
                <w:i/>
                <w:iCs/>
                <w:sz w:val="20"/>
                <w:szCs w:val="20"/>
              </w:rPr>
              <w:t>BRCA</w:t>
            </w:r>
            <w:r w:rsidRPr="007A2F1C">
              <w:rPr>
                <w:rFonts w:ascii="Arial" w:hAnsi="Arial" w:cs="Arial"/>
                <w:sz w:val="20"/>
                <w:szCs w:val="20"/>
              </w:rPr>
              <w:t>-mutated (</w:t>
            </w:r>
            <w:proofErr w:type="spellStart"/>
            <w:r w:rsidRPr="007A2F1C">
              <w:rPr>
                <w:rFonts w:ascii="Arial" w:hAnsi="Arial" w:cs="Arial"/>
                <w:sz w:val="20"/>
                <w:szCs w:val="20"/>
              </w:rPr>
              <w:t>g</w:t>
            </w:r>
            <w:r w:rsidRPr="007A2F1C">
              <w:rPr>
                <w:rFonts w:ascii="Arial" w:hAnsi="Arial" w:cs="Arial"/>
                <w:i/>
                <w:iCs/>
                <w:sz w:val="20"/>
                <w:szCs w:val="20"/>
              </w:rPr>
              <w:t>BRCA</w:t>
            </w:r>
            <w:r w:rsidRPr="007A2F1C">
              <w:rPr>
                <w:rFonts w:ascii="Arial" w:hAnsi="Arial" w:cs="Arial"/>
                <w:sz w:val="20"/>
                <w:szCs w:val="20"/>
              </w:rPr>
              <w:t>m</w:t>
            </w:r>
            <w:proofErr w:type="spellEnd"/>
            <w:r w:rsidRPr="007A2F1C">
              <w:rPr>
                <w:rFonts w:ascii="Arial" w:hAnsi="Arial" w:cs="Arial"/>
                <w:sz w:val="20"/>
                <w:szCs w:val="20"/>
              </w:rPr>
              <w:t xml:space="preserve"> or </w:t>
            </w:r>
            <w:proofErr w:type="spellStart"/>
            <w:r w:rsidRPr="007A2F1C">
              <w:rPr>
                <w:rFonts w:ascii="Arial" w:hAnsi="Arial" w:cs="Arial"/>
                <w:sz w:val="20"/>
                <w:szCs w:val="20"/>
              </w:rPr>
              <w:t>s</w:t>
            </w:r>
            <w:r w:rsidRPr="007A2F1C">
              <w:rPr>
                <w:rFonts w:ascii="Arial" w:hAnsi="Arial" w:cs="Arial"/>
                <w:i/>
                <w:iCs/>
                <w:sz w:val="20"/>
                <w:szCs w:val="20"/>
              </w:rPr>
              <w:t>BRCA</w:t>
            </w:r>
            <w:r w:rsidRPr="007A2F1C">
              <w:rPr>
                <w:rFonts w:ascii="Arial" w:hAnsi="Arial" w:cs="Arial"/>
                <w:sz w:val="20"/>
                <w:szCs w:val="20"/>
              </w:rPr>
              <w:t>m</w:t>
            </w:r>
            <w:proofErr w:type="spellEnd"/>
            <w:r w:rsidRPr="007A2F1C">
              <w:rPr>
                <w:rFonts w:ascii="Arial" w:hAnsi="Arial" w:cs="Arial"/>
                <w:sz w:val="20"/>
                <w:szCs w:val="20"/>
              </w:rPr>
              <w:t>) advanced epithelial ovarian, fallopian tube, or primary peritoneal cancer who are in complete or partial response to first-line platinum-based chemotherapy. Select patients for therapy based on an FDA-approved companion diagnostic for LYNPARZA.</w:t>
            </w:r>
          </w:p>
          <w:p w14:paraId="1ECFBFFC" w14:textId="77777777" w:rsidR="00CE1524" w:rsidRPr="007A2F1C" w:rsidRDefault="00CE1524" w:rsidP="00CE1524">
            <w:pPr>
              <w:spacing w:after="0" w:line="240" w:lineRule="auto"/>
              <w:rPr>
                <w:rFonts w:ascii="Arial" w:hAnsi="Arial" w:cs="Arial"/>
                <w:sz w:val="20"/>
                <w:szCs w:val="20"/>
              </w:rPr>
            </w:pPr>
          </w:p>
          <w:p w14:paraId="2304F021" w14:textId="77777777" w:rsidR="00CE1524" w:rsidRPr="007A2F1C" w:rsidRDefault="00CE1524" w:rsidP="00CE1524">
            <w:pPr>
              <w:spacing w:after="0" w:line="240" w:lineRule="auto"/>
              <w:rPr>
                <w:rFonts w:ascii="Arial" w:hAnsi="Arial" w:cs="Arial"/>
                <w:b/>
                <w:bCs/>
                <w:sz w:val="20"/>
                <w:szCs w:val="20"/>
              </w:rPr>
            </w:pPr>
            <w:r w:rsidRPr="007A2F1C">
              <w:rPr>
                <w:rFonts w:ascii="Arial" w:hAnsi="Arial" w:cs="Arial"/>
                <w:b/>
                <w:bCs/>
                <w:sz w:val="20"/>
                <w:szCs w:val="20"/>
              </w:rPr>
              <w:t>First-Line Maintenance HRD-</w:t>
            </w:r>
            <w:proofErr w:type="gramStart"/>
            <w:r w:rsidRPr="007A2F1C">
              <w:rPr>
                <w:rFonts w:ascii="Arial" w:hAnsi="Arial" w:cs="Arial"/>
                <w:b/>
                <w:bCs/>
                <w:sz w:val="20"/>
                <w:szCs w:val="20"/>
              </w:rPr>
              <w:t>Positive  Advanced</w:t>
            </w:r>
            <w:proofErr w:type="gramEnd"/>
            <w:r w:rsidRPr="007A2F1C">
              <w:rPr>
                <w:rFonts w:ascii="Arial" w:hAnsi="Arial" w:cs="Arial"/>
                <w:b/>
                <w:bCs/>
                <w:sz w:val="20"/>
                <w:szCs w:val="20"/>
              </w:rPr>
              <w:t xml:space="preserve"> Ovarian Cancer in Combination with Bevacizumab </w:t>
            </w:r>
          </w:p>
          <w:p w14:paraId="0F7CE3B4"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 xml:space="preserve">In combination with bevacizumab for the maintenance treatment of adult patients with advanced epithelial ovarian, fallopian tube or primary peritoneal cancer who are in complete or partial response to first-line platinum-based chemotherapy and whose cancer is associated with homologous recombination deficiency (HRD)-positive status defined by either a deleterious or suspected deleterious </w:t>
            </w:r>
            <w:r w:rsidRPr="007A2F1C">
              <w:rPr>
                <w:rFonts w:ascii="Arial" w:hAnsi="Arial" w:cs="Arial"/>
                <w:i/>
                <w:iCs/>
                <w:sz w:val="20"/>
                <w:szCs w:val="20"/>
              </w:rPr>
              <w:t>BRCA</w:t>
            </w:r>
            <w:r w:rsidRPr="007A2F1C">
              <w:rPr>
                <w:rFonts w:ascii="Arial" w:hAnsi="Arial" w:cs="Arial"/>
                <w:sz w:val="20"/>
                <w:szCs w:val="20"/>
              </w:rPr>
              <w:t xml:space="preserve"> mutation, and/or genomic instability. Select patients for therapy based on an FDA-approved companion diagnostic for LYNPARZA.</w:t>
            </w:r>
          </w:p>
          <w:p w14:paraId="45382F55" w14:textId="77777777" w:rsidR="00CE1524" w:rsidRPr="007A2F1C" w:rsidRDefault="00CE1524" w:rsidP="00CE1524">
            <w:pPr>
              <w:spacing w:after="0" w:line="240" w:lineRule="auto"/>
              <w:rPr>
                <w:rFonts w:ascii="Arial" w:hAnsi="Arial" w:cs="Arial"/>
                <w:b/>
                <w:bCs/>
                <w:sz w:val="20"/>
                <w:szCs w:val="20"/>
              </w:rPr>
            </w:pPr>
          </w:p>
          <w:p w14:paraId="177C9989"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b/>
                <w:bCs/>
                <w:sz w:val="20"/>
                <w:szCs w:val="20"/>
              </w:rPr>
              <w:t xml:space="preserve">Maintenance </w:t>
            </w:r>
            <w:r w:rsidRPr="007A2F1C">
              <w:rPr>
                <w:rFonts w:ascii="Arial" w:hAnsi="Arial" w:cs="Arial"/>
                <w:b/>
                <w:bCs/>
                <w:i/>
                <w:iCs/>
                <w:sz w:val="20"/>
                <w:szCs w:val="20"/>
              </w:rPr>
              <w:t>BRCA</w:t>
            </w:r>
            <w:r w:rsidRPr="007A2F1C">
              <w:rPr>
                <w:rFonts w:ascii="Arial" w:hAnsi="Arial" w:cs="Arial"/>
                <w:b/>
                <w:bCs/>
                <w:sz w:val="20"/>
                <w:szCs w:val="20"/>
              </w:rPr>
              <w:t>-mutated Recurrent Ovarian Cancer</w:t>
            </w:r>
            <w:r w:rsidRPr="007A2F1C">
              <w:rPr>
                <w:rFonts w:ascii="Arial" w:hAnsi="Arial" w:cs="Arial"/>
                <w:sz w:val="20"/>
                <w:szCs w:val="20"/>
              </w:rPr>
              <w:br/>
              <w:t xml:space="preserve">For the maintenance treatment of adult patients with deleterious or suspected deleterious germline or somatic </w:t>
            </w:r>
            <w:r w:rsidRPr="007A2F1C">
              <w:rPr>
                <w:rFonts w:ascii="Arial" w:hAnsi="Arial" w:cs="Arial"/>
                <w:i/>
                <w:iCs/>
                <w:sz w:val="20"/>
                <w:szCs w:val="20"/>
              </w:rPr>
              <w:t>BRCA</w:t>
            </w:r>
            <w:r w:rsidRPr="007A2F1C">
              <w:rPr>
                <w:rFonts w:ascii="Arial" w:hAnsi="Arial" w:cs="Arial"/>
                <w:sz w:val="20"/>
                <w:szCs w:val="20"/>
              </w:rPr>
              <w:t>-mutated (</w:t>
            </w:r>
            <w:proofErr w:type="spellStart"/>
            <w:r w:rsidRPr="007A2F1C">
              <w:rPr>
                <w:rFonts w:ascii="Arial" w:hAnsi="Arial" w:cs="Arial"/>
                <w:sz w:val="20"/>
                <w:szCs w:val="20"/>
              </w:rPr>
              <w:t>g</w:t>
            </w:r>
            <w:r w:rsidRPr="007A2F1C">
              <w:rPr>
                <w:rFonts w:ascii="Arial" w:hAnsi="Arial" w:cs="Arial"/>
                <w:i/>
                <w:iCs/>
                <w:sz w:val="20"/>
                <w:szCs w:val="20"/>
              </w:rPr>
              <w:t>BRCA</w:t>
            </w:r>
            <w:r w:rsidRPr="007A2F1C">
              <w:rPr>
                <w:rFonts w:ascii="Arial" w:hAnsi="Arial" w:cs="Arial"/>
                <w:sz w:val="20"/>
                <w:szCs w:val="20"/>
              </w:rPr>
              <w:t>m</w:t>
            </w:r>
            <w:proofErr w:type="spellEnd"/>
            <w:r w:rsidRPr="007A2F1C">
              <w:rPr>
                <w:rFonts w:ascii="Arial" w:hAnsi="Arial" w:cs="Arial"/>
                <w:sz w:val="20"/>
                <w:szCs w:val="20"/>
              </w:rPr>
              <w:t xml:space="preserve"> or </w:t>
            </w:r>
            <w:proofErr w:type="spellStart"/>
            <w:r w:rsidRPr="007A2F1C">
              <w:rPr>
                <w:rFonts w:ascii="Arial" w:hAnsi="Arial" w:cs="Arial"/>
                <w:sz w:val="20"/>
                <w:szCs w:val="20"/>
              </w:rPr>
              <w:t>s</w:t>
            </w:r>
            <w:r w:rsidRPr="007A2F1C">
              <w:rPr>
                <w:rFonts w:ascii="Arial" w:hAnsi="Arial" w:cs="Arial"/>
                <w:i/>
                <w:iCs/>
                <w:sz w:val="20"/>
                <w:szCs w:val="20"/>
              </w:rPr>
              <w:t>BRCA</w:t>
            </w:r>
            <w:r w:rsidRPr="007A2F1C">
              <w:rPr>
                <w:rFonts w:ascii="Arial" w:hAnsi="Arial" w:cs="Arial"/>
                <w:sz w:val="20"/>
                <w:szCs w:val="20"/>
              </w:rPr>
              <w:t>m</w:t>
            </w:r>
            <w:proofErr w:type="spellEnd"/>
            <w:r w:rsidRPr="007A2F1C">
              <w:rPr>
                <w:rFonts w:ascii="Arial" w:hAnsi="Arial" w:cs="Arial"/>
                <w:sz w:val="20"/>
                <w:szCs w:val="20"/>
              </w:rPr>
              <w:t>) recurrent epithelial ovarian, fallopian tube, or primary peritoneal cancer, who are in complete or partial response to platinum-based chemotherapy. Select patients for therapy based on an FDA-approved companion diagnostic for LYNPARZA.</w:t>
            </w:r>
          </w:p>
          <w:p w14:paraId="221AE574" w14:textId="77777777" w:rsidR="00CE1524" w:rsidRPr="007A2F1C" w:rsidRDefault="00CE1524" w:rsidP="00CE1524">
            <w:pPr>
              <w:spacing w:after="0" w:line="240" w:lineRule="auto"/>
              <w:rPr>
                <w:rFonts w:ascii="Arial" w:hAnsi="Arial" w:cs="Arial"/>
                <w:sz w:val="20"/>
                <w:szCs w:val="20"/>
              </w:rPr>
            </w:pPr>
          </w:p>
          <w:p w14:paraId="7CE14DF5" w14:textId="77777777" w:rsidR="00CE1524" w:rsidRPr="007A2F1C" w:rsidRDefault="00CE1524" w:rsidP="00CE1524">
            <w:pPr>
              <w:spacing w:after="0" w:line="240" w:lineRule="auto"/>
              <w:rPr>
                <w:rFonts w:ascii="Arial" w:hAnsi="Arial" w:cs="Arial"/>
                <w:b/>
                <w:bCs/>
                <w:sz w:val="21"/>
                <w:szCs w:val="21"/>
              </w:rPr>
            </w:pPr>
            <w:r w:rsidRPr="007A2F1C">
              <w:rPr>
                <w:rFonts w:ascii="Arial" w:hAnsi="Arial" w:cs="Arial"/>
                <w:b/>
                <w:bCs/>
                <w:sz w:val="21"/>
                <w:szCs w:val="21"/>
              </w:rPr>
              <w:t xml:space="preserve">Please see complete Prescribing Information, including Medication Guide, at </w:t>
            </w:r>
            <w:hyperlink r:id="rId12" w:history="1">
              <w:r w:rsidRPr="00CB2FD7">
                <w:rPr>
                  <w:rStyle w:val="Hyperlink"/>
                  <w:rFonts w:ascii="Arial" w:hAnsi="Arial" w:cs="Arial"/>
                  <w:b/>
                  <w:bCs/>
                  <w:sz w:val="21"/>
                  <w:szCs w:val="21"/>
                  <w:u w:val="none"/>
                </w:rPr>
                <w:t>www.lynparzahcp.com</w:t>
              </w:r>
            </w:hyperlink>
            <w:r w:rsidRPr="00CB2FD7">
              <w:rPr>
                <w:rStyle w:val="Hyperlink"/>
                <w:rFonts w:ascii="Arial" w:hAnsi="Arial" w:cs="Arial"/>
                <w:b/>
                <w:bCs/>
                <w:sz w:val="21"/>
                <w:szCs w:val="21"/>
                <w:u w:val="none"/>
              </w:rPr>
              <w:t xml:space="preserve"> </w:t>
            </w:r>
            <w:r w:rsidRPr="007A2F1C">
              <w:rPr>
                <w:rFonts w:ascii="Arial" w:hAnsi="Arial" w:cs="Arial"/>
                <w:b/>
                <w:bCs/>
                <w:sz w:val="21"/>
                <w:szCs w:val="21"/>
              </w:rPr>
              <w:t>Or at the link on this website.</w:t>
            </w:r>
          </w:p>
          <w:p w14:paraId="6A78A065" w14:textId="77777777" w:rsidR="00CE1524" w:rsidRPr="007A2F1C" w:rsidRDefault="00CE1524" w:rsidP="00CE1524">
            <w:pPr>
              <w:spacing w:after="0" w:line="240" w:lineRule="auto"/>
              <w:rPr>
                <w:rFonts w:ascii="Arial" w:hAnsi="Arial" w:cs="Arial"/>
                <w:sz w:val="20"/>
                <w:szCs w:val="20"/>
              </w:rPr>
            </w:pPr>
          </w:p>
          <w:p w14:paraId="30AE2E37"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You are encouraged to report negative side effects of AstraZeneca prescription drugs by calling 1-800-236-9933. If you prefer to report these to the FDA, call 1-800-FDA-1088.</w:t>
            </w:r>
          </w:p>
          <w:p w14:paraId="252FC08F" w14:textId="77777777" w:rsidR="00CE1524" w:rsidRPr="007A2F1C" w:rsidRDefault="00CE1524" w:rsidP="00CE1524">
            <w:pPr>
              <w:spacing w:after="0" w:line="240" w:lineRule="auto"/>
              <w:rPr>
                <w:rFonts w:ascii="Arial" w:hAnsi="Arial" w:cs="Arial"/>
                <w:sz w:val="20"/>
                <w:szCs w:val="20"/>
              </w:rPr>
            </w:pPr>
            <w:r w:rsidRPr="007A2F1C">
              <w:rPr>
                <w:rFonts w:ascii="Arial" w:hAnsi="Arial" w:cs="Arial"/>
                <w:sz w:val="20"/>
                <w:szCs w:val="20"/>
              </w:rPr>
              <w:t>LYNPARZA is a registered trademark of the AstraZeneca group of companies.</w:t>
            </w:r>
          </w:p>
          <w:p w14:paraId="36F3707F" w14:textId="33FAF9DA" w:rsidR="00CE1524" w:rsidRPr="007A2F1C" w:rsidRDefault="00CE1524" w:rsidP="00CE1524">
            <w:pPr>
              <w:pStyle w:val="BasicParagraph"/>
              <w:suppressAutoHyphens/>
              <w:spacing w:line="240" w:lineRule="auto"/>
              <w:ind w:left="90" w:right="181"/>
              <w:rPr>
                <w:rFonts w:ascii="Gotham Bold" w:hAnsi="Gotham Bold" w:cs="Gotham Bold"/>
                <w:b/>
                <w:bCs/>
                <w:color w:val="041726" w:themeColor="text1"/>
                <w:sz w:val="18"/>
                <w:szCs w:val="18"/>
              </w:rPr>
            </w:pPr>
            <w:r w:rsidRPr="007A2F1C">
              <w:rPr>
                <w:rFonts w:ascii="Arial" w:hAnsi="Arial" w:cs="Arial"/>
                <w:sz w:val="20"/>
                <w:szCs w:val="20"/>
              </w:rPr>
              <w:t>©2024 AstraZeneca. All rights reserved. US-91304 Last Updated 8/24</w:t>
            </w:r>
          </w:p>
        </w:tc>
      </w:tr>
    </w:tbl>
    <w:p w14:paraId="31DE04AD" w14:textId="4D7D4E60" w:rsidR="00CE1524" w:rsidRPr="007A2F1C" w:rsidRDefault="008F6E08" w:rsidP="00CE1524">
      <w:pPr>
        <w:spacing w:after="0" w:line="240" w:lineRule="auto"/>
      </w:pPr>
      <w:r w:rsidRPr="007A2F1C">
        <w:lastRenderedPageBreak/>
        <w:br w:type="page"/>
      </w:r>
      <w:r w:rsidR="00CE1524" w:rsidRPr="007A2F1C">
        <w:lastRenderedPageBreak/>
        <w:t xml:space="preserve"> </w:t>
      </w:r>
    </w:p>
    <w:tbl>
      <w:tblPr>
        <w:tblW w:w="13140" w:type="dxa"/>
        <w:tblInd w:w="175" w:type="dxa"/>
        <w:tblBorders>
          <w:top w:val="single" w:sz="4" w:space="0" w:color="829BAD" w:themeColor="background2"/>
          <w:left w:val="single" w:sz="4" w:space="0" w:color="829BAD" w:themeColor="background2"/>
          <w:bottom w:val="single" w:sz="4" w:space="0" w:color="829BAD" w:themeColor="background2"/>
          <w:right w:val="single" w:sz="4" w:space="0" w:color="829BAD" w:themeColor="background2"/>
          <w:insideH w:val="single" w:sz="4" w:space="0" w:color="829BAD" w:themeColor="background2"/>
          <w:insideV w:val="single" w:sz="4" w:space="0" w:color="829BAD" w:themeColor="background2"/>
        </w:tblBorders>
        <w:tblLayout w:type="fixed"/>
        <w:tblCellMar>
          <w:left w:w="0" w:type="dxa"/>
          <w:right w:w="144" w:type="dxa"/>
        </w:tblCellMar>
        <w:tblLook w:val="01E0" w:firstRow="1" w:lastRow="1" w:firstColumn="1" w:lastColumn="1" w:noHBand="0" w:noVBand="0"/>
      </w:tblPr>
      <w:tblGrid>
        <w:gridCol w:w="13140"/>
      </w:tblGrid>
      <w:tr w:rsidR="00C35240" w:rsidRPr="007A2F1C" w14:paraId="3413766D" w14:textId="77777777" w:rsidTr="00C35240">
        <w:trPr>
          <w:cantSplit/>
          <w:trHeight w:val="317"/>
        </w:trPr>
        <w:tc>
          <w:tcPr>
            <w:tcW w:w="13140" w:type="dxa"/>
            <w:shd w:val="clear" w:color="auto" w:fill="829BAD" w:themeFill="background2"/>
          </w:tcPr>
          <w:p w14:paraId="691DB772" w14:textId="77777777" w:rsidR="00C35240" w:rsidRPr="007A2F1C" w:rsidRDefault="00C35240" w:rsidP="008F6E08">
            <w:pPr>
              <w:pStyle w:val="TableParagraph"/>
              <w:spacing w:before="48" w:line="276" w:lineRule="auto"/>
              <w:ind w:left="0"/>
              <w:rPr>
                <w:rFonts w:asciiTheme="majorHAnsi" w:hAnsiTheme="majorHAnsi"/>
                <w:b/>
                <w:noProof/>
                <w:color w:val="FFFFFF" w:themeColor="accent6"/>
                <w:sz w:val="20"/>
              </w:rPr>
            </w:pPr>
          </w:p>
        </w:tc>
      </w:tr>
      <w:tr w:rsidR="00C35240" w:rsidRPr="00046447" w14:paraId="1E36722A" w14:textId="77777777" w:rsidTr="00C35240">
        <w:trPr>
          <w:cantSplit/>
          <w:trHeight w:val="317"/>
        </w:trPr>
        <w:tc>
          <w:tcPr>
            <w:tcW w:w="13140" w:type="dxa"/>
          </w:tcPr>
          <w:p w14:paraId="61D2AAD3" w14:textId="77777777" w:rsidR="00C35240" w:rsidRPr="007A2F1C" w:rsidRDefault="00C35240" w:rsidP="008F6E08">
            <w:pPr>
              <w:spacing w:after="0"/>
              <w:ind w:right="176"/>
              <w:rPr>
                <w:rFonts w:asciiTheme="majorHAnsi" w:hAnsiTheme="majorHAnsi"/>
                <w:sz w:val="16"/>
                <w:szCs w:val="16"/>
              </w:rPr>
            </w:pPr>
            <w:r w:rsidRPr="007A2F1C">
              <w:rPr>
                <w:rFonts w:asciiTheme="majorHAnsi" w:hAnsiTheme="majorHAnsi"/>
                <w:b/>
                <w:bCs/>
                <w:sz w:val="16"/>
                <w:szCs w:val="16"/>
              </w:rPr>
              <w:t>References</w:t>
            </w:r>
          </w:p>
          <w:p w14:paraId="789F8157" w14:textId="77777777" w:rsidR="00C35240" w:rsidRPr="007A2F1C" w:rsidRDefault="00C35240" w:rsidP="00DE2DFA">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LYNPARZA</w:t>
            </w:r>
            <w:r w:rsidRPr="007A2F1C">
              <w:rPr>
                <w:rFonts w:asciiTheme="majorHAnsi" w:hAnsiTheme="majorHAnsi" w:cs="Arial"/>
                <w:sz w:val="16"/>
                <w:szCs w:val="16"/>
                <w:vertAlign w:val="superscript"/>
              </w:rPr>
              <w:t>®</w:t>
            </w:r>
            <w:r w:rsidRPr="007A2F1C">
              <w:rPr>
                <w:rFonts w:asciiTheme="majorHAnsi" w:hAnsiTheme="majorHAnsi" w:cs="Arial"/>
                <w:sz w:val="16"/>
                <w:szCs w:val="16"/>
              </w:rPr>
              <w:t xml:space="preserve"> (</w:t>
            </w:r>
            <w:proofErr w:type="spellStart"/>
            <w:r w:rsidRPr="007A2F1C">
              <w:rPr>
                <w:rFonts w:asciiTheme="majorHAnsi" w:hAnsiTheme="majorHAnsi" w:cs="Arial"/>
                <w:sz w:val="16"/>
                <w:szCs w:val="16"/>
              </w:rPr>
              <w:t>olaparib</w:t>
            </w:r>
            <w:proofErr w:type="spellEnd"/>
            <w:r w:rsidRPr="007A2F1C">
              <w:rPr>
                <w:rFonts w:asciiTheme="majorHAnsi" w:hAnsiTheme="majorHAnsi" w:cs="Arial"/>
                <w:sz w:val="16"/>
                <w:szCs w:val="16"/>
              </w:rPr>
              <w:t>) [prescribing information]. Wilmington, DE: AstraZeneca Pharmaceuticals LP; 2023.</w:t>
            </w:r>
          </w:p>
          <w:p w14:paraId="33497829" w14:textId="77777777" w:rsidR="00C35240" w:rsidRPr="007A2F1C" w:rsidRDefault="00C35240" w:rsidP="00DE2DFA">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 xml:space="preserve">Hurst JH. Pioneering geneticist Mary-Claire King receives the 2014 </w:t>
            </w:r>
            <w:proofErr w:type="spellStart"/>
            <w:r w:rsidRPr="007A2F1C">
              <w:rPr>
                <w:rFonts w:asciiTheme="majorHAnsi" w:hAnsiTheme="majorHAnsi" w:cs="Arial"/>
                <w:sz w:val="16"/>
                <w:szCs w:val="16"/>
              </w:rPr>
              <w:t>Lasker~Koshland</w:t>
            </w:r>
            <w:proofErr w:type="spellEnd"/>
            <w:r w:rsidRPr="007A2F1C">
              <w:rPr>
                <w:rFonts w:asciiTheme="majorHAnsi" w:hAnsiTheme="majorHAnsi" w:cs="Arial"/>
                <w:sz w:val="16"/>
                <w:szCs w:val="16"/>
              </w:rPr>
              <w:t xml:space="preserve"> Special Achievement Award in Medical Science. </w:t>
            </w:r>
            <w:r w:rsidRPr="007A2F1C">
              <w:rPr>
                <w:rFonts w:asciiTheme="majorHAnsi" w:hAnsiTheme="majorHAnsi" w:cs="Arial"/>
                <w:i/>
                <w:iCs/>
                <w:sz w:val="16"/>
                <w:szCs w:val="16"/>
              </w:rPr>
              <w:t>J Clin Invest</w:t>
            </w:r>
            <w:r w:rsidRPr="007A2F1C">
              <w:rPr>
                <w:rFonts w:asciiTheme="majorHAnsi" w:hAnsiTheme="majorHAnsi" w:cs="Arial"/>
                <w:sz w:val="16"/>
                <w:szCs w:val="16"/>
              </w:rPr>
              <w:t>. 2014;124(10):4148-4151.</w:t>
            </w:r>
          </w:p>
          <w:p w14:paraId="4FDBE108" w14:textId="77777777" w:rsidR="00C35240" w:rsidRPr="007A2F1C" w:rsidRDefault="00C35240" w:rsidP="00DE2DFA">
            <w:pPr>
              <w:pStyle w:val="ListParagraph"/>
              <w:widowControl/>
              <w:numPr>
                <w:ilvl w:val="0"/>
                <w:numId w:val="19"/>
              </w:numPr>
              <w:autoSpaceDE/>
              <w:autoSpaceDN/>
              <w:contextualSpacing/>
              <w:rPr>
                <w:rFonts w:asciiTheme="majorHAnsi" w:hAnsiTheme="majorHAnsi" w:cs="Arial"/>
                <w:sz w:val="16"/>
                <w:szCs w:val="16"/>
              </w:rPr>
            </w:pPr>
            <w:proofErr w:type="spellStart"/>
            <w:r w:rsidRPr="007A2F1C">
              <w:rPr>
                <w:rFonts w:asciiTheme="majorHAnsi" w:hAnsiTheme="majorHAnsi" w:cs="Arial"/>
                <w:sz w:val="16"/>
                <w:szCs w:val="16"/>
                <w:lang w:val="fr-FR"/>
              </w:rPr>
              <w:t>Fong</w:t>
            </w:r>
            <w:proofErr w:type="spellEnd"/>
            <w:r w:rsidRPr="007A2F1C">
              <w:rPr>
                <w:rFonts w:asciiTheme="majorHAnsi" w:hAnsiTheme="majorHAnsi" w:cs="Arial"/>
                <w:sz w:val="16"/>
                <w:szCs w:val="16"/>
                <w:lang w:val="fr-FR"/>
              </w:rPr>
              <w:t xml:space="preserve"> PC, Boss DS, Yap TA, et al. </w:t>
            </w:r>
            <w:r w:rsidRPr="007A2F1C">
              <w:rPr>
                <w:rFonts w:asciiTheme="majorHAnsi" w:hAnsiTheme="majorHAnsi" w:cs="Arial"/>
                <w:sz w:val="16"/>
                <w:szCs w:val="16"/>
              </w:rPr>
              <w:t xml:space="preserve">Inhibition of poly (ADP-ribose) polymerase in tumors from </w:t>
            </w:r>
            <w:r w:rsidRPr="007A2F1C">
              <w:rPr>
                <w:rFonts w:asciiTheme="majorHAnsi" w:hAnsiTheme="majorHAnsi" w:cs="Arial"/>
                <w:i/>
                <w:iCs/>
                <w:sz w:val="16"/>
                <w:szCs w:val="16"/>
              </w:rPr>
              <w:t>BRCA</w:t>
            </w:r>
            <w:r w:rsidRPr="007A2F1C">
              <w:rPr>
                <w:rFonts w:asciiTheme="majorHAnsi" w:hAnsiTheme="majorHAnsi" w:cs="Arial"/>
                <w:sz w:val="16"/>
                <w:szCs w:val="16"/>
              </w:rPr>
              <w:t xml:space="preserve"> mutation carriers. </w:t>
            </w:r>
            <w:r w:rsidRPr="007A2F1C">
              <w:rPr>
                <w:rFonts w:asciiTheme="majorHAnsi" w:hAnsiTheme="majorHAnsi" w:cs="Arial"/>
                <w:i/>
                <w:iCs/>
                <w:sz w:val="16"/>
                <w:szCs w:val="16"/>
              </w:rPr>
              <w:t>N Engl J Med</w:t>
            </w:r>
            <w:r w:rsidRPr="007A2F1C">
              <w:rPr>
                <w:rFonts w:asciiTheme="majorHAnsi" w:hAnsiTheme="majorHAnsi" w:cs="Arial"/>
                <w:sz w:val="16"/>
                <w:szCs w:val="16"/>
              </w:rPr>
              <w:t>. 2009;361(2):123-134.</w:t>
            </w:r>
          </w:p>
          <w:p w14:paraId="6C8B91FF" w14:textId="3A93B6E2" w:rsidR="00C35240" w:rsidRPr="007A2F1C" w:rsidRDefault="00C35240" w:rsidP="00DE2DFA">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AstraZeneca. LYNPARZA approved by the US food and drug administration for the treatment of advanced ovarian cancer in patients with germline BRCA-mutations. Published December 19, 2014.</w:t>
            </w:r>
          </w:p>
          <w:p w14:paraId="606B8532" w14:textId="77777777" w:rsidR="00C35240" w:rsidRPr="007A2F1C" w:rsidRDefault="00C35240" w:rsidP="00DE2DFA">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GOG Partners. Clinical Trials. Accessed Aug 6, 2024. Available at: https://www.gog.org/gog-partners/trial-search/?</w:t>
            </w:r>
          </w:p>
          <w:p w14:paraId="6ACBC648" w14:textId="77777777" w:rsidR="00C35240" w:rsidRPr="007A2F1C" w:rsidRDefault="00C35240" w:rsidP="00DE2DFA">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AstraZeneca. LYNPARZA approved by US FDA for 1st-line maintenance therapy in BRCA-mutated advanced ovarian cancer. Published December 19, 2018.</w:t>
            </w:r>
          </w:p>
          <w:p w14:paraId="7CEF8170" w14:textId="77777777" w:rsidR="00C35240" w:rsidRPr="007A2F1C" w:rsidRDefault="00C35240" w:rsidP="00DE2DFA">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 xml:space="preserve">Banerjee S, Moore KN, Colombo N, et al. Maintenance </w:t>
            </w:r>
            <w:proofErr w:type="spellStart"/>
            <w:r w:rsidRPr="007A2F1C">
              <w:rPr>
                <w:rFonts w:asciiTheme="majorHAnsi" w:hAnsiTheme="majorHAnsi" w:cs="Arial"/>
                <w:sz w:val="16"/>
                <w:szCs w:val="16"/>
              </w:rPr>
              <w:t>olaparib</w:t>
            </w:r>
            <w:proofErr w:type="spellEnd"/>
            <w:r w:rsidRPr="007A2F1C">
              <w:rPr>
                <w:rFonts w:asciiTheme="majorHAnsi" w:hAnsiTheme="majorHAnsi" w:cs="Arial"/>
                <w:sz w:val="16"/>
                <w:szCs w:val="16"/>
              </w:rPr>
              <w:t xml:space="preserve"> for patients with newly diagnosed advanced ovarian cancer and a BRCA mutation (SOLO1/GOG 3004): 5-year follow-up of a </w:t>
            </w:r>
            <w:proofErr w:type="spellStart"/>
            <w:r w:rsidRPr="007A2F1C">
              <w:rPr>
                <w:rFonts w:asciiTheme="majorHAnsi" w:hAnsiTheme="majorHAnsi" w:cs="Arial"/>
                <w:sz w:val="16"/>
                <w:szCs w:val="16"/>
              </w:rPr>
              <w:t>randomised</w:t>
            </w:r>
            <w:proofErr w:type="spellEnd"/>
            <w:r w:rsidRPr="007A2F1C">
              <w:rPr>
                <w:rFonts w:asciiTheme="majorHAnsi" w:hAnsiTheme="majorHAnsi" w:cs="Arial"/>
                <w:sz w:val="16"/>
                <w:szCs w:val="16"/>
              </w:rPr>
              <w:t xml:space="preserve">, double-blind, placebo-controlled, phase 3 trial. </w:t>
            </w:r>
            <w:r w:rsidRPr="007A2F1C">
              <w:rPr>
                <w:rFonts w:asciiTheme="majorHAnsi" w:hAnsiTheme="majorHAnsi" w:cs="Arial"/>
                <w:i/>
                <w:iCs/>
                <w:sz w:val="16"/>
                <w:szCs w:val="16"/>
              </w:rPr>
              <w:t>Lancet Oncol</w:t>
            </w:r>
            <w:r w:rsidRPr="007A2F1C">
              <w:rPr>
                <w:rFonts w:asciiTheme="majorHAnsi" w:hAnsiTheme="majorHAnsi" w:cs="Arial"/>
                <w:sz w:val="16"/>
                <w:szCs w:val="16"/>
              </w:rPr>
              <w:t>. 2021;22(12):1721-1731.</w:t>
            </w:r>
          </w:p>
          <w:p w14:paraId="2FE613C4" w14:textId="77777777" w:rsidR="00C35240" w:rsidRPr="007A2F1C" w:rsidRDefault="00C35240" w:rsidP="00DE2DFA">
            <w:pPr>
              <w:pStyle w:val="ListParagraph"/>
              <w:widowControl/>
              <w:numPr>
                <w:ilvl w:val="0"/>
                <w:numId w:val="19"/>
              </w:numPr>
              <w:autoSpaceDE/>
              <w:autoSpaceDN/>
              <w:contextualSpacing/>
              <w:rPr>
                <w:rFonts w:asciiTheme="majorHAnsi" w:hAnsiTheme="majorHAnsi" w:cs="Arial"/>
                <w:sz w:val="16"/>
                <w:szCs w:val="16"/>
              </w:rPr>
            </w:pPr>
            <w:proofErr w:type="spellStart"/>
            <w:r w:rsidRPr="007A2F1C">
              <w:rPr>
                <w:rFonts w:asciiTheme="majorHAnsi" w:hAnsiTheme="majorHAnsi" w:cs="Arial"/>
                <w:sz w:val="16"/>
                <w:szCs w:val="16"/>
                <w:lang w:val="es-ES"/>
              </w:rPr>
              <w:t>DiSilvestro</w:t>
            </w:r>
            <w:proofErr w:type="spellEnd"/>
            <w:r w:rsidRPr="007A2F1C">
              <w:rPr>
                <w:rFonts w:asciiTheme="majorHAnsi" w:hAnsiTheme="majorHAnsi" w:cs="Arial"/>
                <w:sz w:val="16"/>
                <w:szCs w:val="16"/>
                <w:lang w:val="es-ES"/>
              </w:rPr>
              <w:t xml:space="preserve"> P, </w:t>
            </w:r>
            <w:proofErr w:type="spellStart"/>
            <w:r w:rsidRPr="007A2F1C">
              <w:rPr>
                <w:rFonts w:asciiTheme="majorHAnsi" w:hAnsiTheme="majorHAnsi" w:cs="Arial"/>
                <w:sz w:val="16"/>
                <w:szCs w:val="16"/>
                <w:lang w:val="es-ES"/>
              </w:rPr>
              <w:t>Banerjee</w:t>
            </w:r>
            <w:proofErr w:type="spellEnd"/>
            <w:r w:rsidRPr="007A2F1C">
              <w:rPr>
                <w:rFonts w:asciiTheme="majorHAnsi" w:hAnsiTheme="majorHAnsi" w:cs="Arial"/>
                <w:sz w:val="16"/>
                <w:szCs w:val="16"/>
                <w:lang w:val="es-ES"/>
              </w:rPr>
              <w:t xml:space="preserve"> S, Colombo N, et al. </w:t>
            </w:r>
            <w:r w:rsidRPr="007A2F1C">
              <w:rPr>
                <w:rFonts w:asciiTheme="majorHAnsi" w:hAnsiTheme="majorHAnsi" w:cs="Arial"/>
                <w:sz w:val="16"/>
                <w:szCs w:val="16"/>
              </w:rPr>
              <w:t xml:space="preserve">Overall survival with maintenance </w:t>
            </w:r>
            <w:proofErr w:type="spellStart"/>
            <w:r w:rsidRPr="007A2F1C">
              <w:rPr>
                <w:rFonts w:asciiTheme="majorHAnsi" w:hAnsiTheme="majorHAnsi" w:cs="Arial"/>
                <w:sz w:val="16"/>
                <w:szCs w:val="16"/>
              </w:rPr>
              <w:t>olaparib</w:t>
            </w:r>
            <w:proofErr w:type="spellEnd"/>
            <w:r w:rsidRPr="007A2F1C">
              <w:rPr>
                <w:rFonts w:asciiTheme="majorHAnsi" w:hAnsiTheme="majorHAnsi" w:cs="Arial"/>
                <w:sz w:val="16"/>
                <w:szCs w:val="16"/>
              </w:rPr>
              <w:t xml:space="preserve"> at a 7-year follow-up in patients with newly diagnosed advanced ovarian cancer and a </w:t>
            </w:r>
            <w:r w:rsidRPr="007A2F1C">
              <w:rPr>
                <w:rFonts w:asciiTheme="majorHAnsi" w:hAnsiTheme="majorHAnsi" w:cs="Arial"/>
                <w:i/>
                <w:iCs/>
                <w:sz w:val="16"/>
                <w:szCs w:val="16"/>
              </w:rPr>
              <w:t>BRCA</w:t>
            </w:r>
            <w:r w:rsidRPr="007A2F1C">
              <w:rPr>
                <w:rFonts w:asciiTheme="majorHAnsi" w:hAnsiTheme="majorHAnsi" w:cs="Arial"/>
                <w:sz w:val="16"/>
                <w:szCs w:val="16"/>
              </w:rPr>
              <w:t xml:space="preserve"> mutation: The SOLO1/GOG 3004 Trial. </w:t>
            </w:r>
            <w:r w:rsidRPr="007A2F1C">
              <w:rPr>
                <w:rFonts w:asciiTheme="majorHAnsi" w:hAnsiTheme="majorHAnsi" w:cs="Arial"/>
                <w:i/>
                <w:iCs/>
                <w:sz w:val="16"/>
                <w:szCs w:val="16"/>
              </w:rPr>
              <w:t>J Clin Oncol</w:t>
            </w:r>
            <w:r w:rsidRPr="007A2F1C">
              <w:rPr>
                <w:rFonts w:asciiTheme="majorHAnsi" w:hAnsiTheme="majorHAnsi" w:cs="Arial"/>
                <w:sz w:val="16"/>
                <w:szCs w:val="16"/>
              </w:rPr>
              <w:t>. 2023;41(3):609-617.</w:t>
            </w:r>
          </w:p>
          <w:p w14:paraId="3324FA05" w14:textId="77777777" w:rsidR="00C35240" w:rsidRPr="007A2F1C" w:rsidRDefault="00C35240" w:rsidP="00DE2DFA">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 xml:space="preserve">US Food and Drug Administration (FDA). FDA approves bevacizumab in combination with chemotherapy for ovarian cancer. Published June 13, 2018. </w:t>
            </w:r>
          </w:p>
          <w:p w14:paraId="7EB43901" w14:textId="77777777" w:rsidR="00C35240" w:rsidRPr="007A2F1C" w:rsidRDefault="00C35240" w:rsidP="00DE2DFA">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 xml:space="preserve">Burger RA, Brady MF, Bookman MA, et al. Incorporation of bevacizumab in the primary treatment of ovarian cancer. </w:t>
            </w:r>
            <w:r w:rsidRPr="007A2F1C">
              <w:rPr>
                <w:rFonts w:asciiTheme="majorHAnsi" w:hAnsiTheme="majorHAnsi" w:cs="Arial"/>
                <w:i/>
                <w:iCs/>
                <w:sz w:val="16"/>
                <w:szCs w:val="16"/>
              </w:rPr>
              <w:t>N Engl J Med</w:t>
            </w:r>
            <w:r w:rsidRPr="007A2F1C">
              <w:rPr>
                <w:rFonts w:asciiTheme="majorHAnsi" w:hAnsiTheme="majorHAnsi" w:cs="Arial"/>
                <w:sz w:val="16"/>
                <w:szCs w:val="16"/>
              </w:rPr>
              <w:t xml:space="preserve">. </w:t>
            </w:r>
            <w:proofErr w:type="gramStart"/>
            <w:r w:rsidRPr="007A2F1C">
              <w:rPr>
                <w:rFonts w:asciiTheme="majorHAnsi" w:hAnsiTheme="majorHAnsi" w:cs="Arial"/>
                <w:sz w:val="16"/>
                <w:szCs w:val="16"/>
              </w:rPr>
              <w:t>2011;365:2473</w:t>
            </w:r>
            <w:proofErr w:type="gramEnd"/>
            <w:r w:rsidRPr="007A2F1C">
              <w:rPr>
                <w:rFonts w:asciiTheme="majorHAnsi" w:hAnsiTheme="majorHAnsi" w:cs="Arial"/>
                <w:sz w:val="16"/>
                <w:szCs w:val="16"/>
              </w:rPr>
              <w:t>-2483.</w:t>
            </w:r>
          </w:p>
          <w:p w14:paraId="6A425878" w14:textId="77777777" w:rsidR="00C35240" w:rsidRPr="007A2F1C" w:rsidRDefault="00C35240" w:rsidP="00DE2DFA">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lang w:val="de-DE"/>
              </w:rPr>
              <w:t xml:space="preserve">Perren TJ, </w:t>
            </w:r>
            <w:proofErr w:type="spellStart"/>
            <w:r w:rsidRPr="007A2F1C">
              <w:rPr>
                <w:rFonts w:asciiTheme="majorHAnsi" w:hAnsiTheme="majorHAnsi" w:cs="Arial"/>
                <w:sz w:val="16"/>
                <w:szCs w:val="16"/>
                <w:lang w:val="de-DE"/>
              </w:rPr>
              <w:t>Swart</w:t>
            </w:r>
            <w:proofErr w:type="spellEnd"/>
            <w:r w:rsidRPr="007A2F1C">
              <w:rPr>
                <w:rFonts w:asciiTheme="majorHAnsi" w:hAnsiTheme="majorHAnsi" w:cs="Arial"/>
                <w:sz w:val="16"/>
                <w:szCs w:val="16"/>
                <w:lang w:val="de-DE"/>
              </w:rPr>
              <w:t xml:space="preserve"> AM, Pfisterer J, et al. </w:t>
            </w:r>
            <w:r w:rsidRPr="007A2F1C">
              <w:rPr>
                <w:rFonts w:asciiTheme="majorHAnsi" w:hAnsiTheme="majorHAnsi" w:cs="Arial"/>
                <w:sz w:val="16"/>
                <w:szCs w:val="16"/>
              </w:rPr>
              <w:t xml:space="preserve">A phase 3 trial of bevacizumab in ovarian cancer. </w:t>
            </w:r>
            <w:r w:rsidRPr="007A2F1C">
              <w:rPr>
                <w:rFonts w:asciiTheme="majorHAnsi" w:hAnsiTheme="majorHAnsi" w:cs="Arial"/>
                <w:i/>
                <w:iCs/>
                <w:sz w:val="16"/>
                <w:szCs w:val="16"/>
              </w:rPr>
              <w:t>N Engl J Med</w:t>
            </w:r>
            <w:r w:rsidRPr="007A2F1C">
              <w:rPr>
                <w:rFonts w:asciiTheme="majorHAnsi" w:hAnsiTheme="majorHAnsi" w:cs="Arial"/>
                <w:sz w:val="16"/>
                <w:szCs w:val="16"/>
              </w:rPr>
              <w:t xml:space="preserve">. </w:t>
            </w:r>
            <w:proofErr w:type="gramStart"/>
            <w:r w:rsidRPr="007A2F1C">
              <w:rPr>
                <w:rFonts w:asciiTheme="majorHAnsi" w:hAnsiTheme="majorHAnsi" w:cs="Arial"/>
                <w:sz w:val="16"/>
                <w:szCs w:val="16"/>
              </w:rPr>
              <w:t>2011;365:2484</w:t>
            </w:r>
            <w:proofErr w:type="gramEnd"/>
            <w:r w:rsidRPr="007A2F1C">
              <w:rPr>
                <w:rFonts w:asciiTheme="majorHAnsi" w:hAnsiTheme="majorHAnsi" w:cs="Arial"/>
                <w:sz w:val="16"/>
                <w:szCs w:val="16"/>
              </w:rPr>
              <w:t>-2496.</w:t>
            </w:r>
          </w:p>
          <w:p w14:paraId="16FE7B7B" w14:textId="77777777" w:rsidR="00C35240" w:rsidRPr="007A2F1C" w:rsidRDefault="00C35240" w:rsidP="00F10A65">
            <w:pPr>
              <w:pStyle w:val="ListParagraph"/>
              <w:widowControl/>
              <w:numPr>
                <w:ilvl w:val="0"/>
                <w:numId w:val="19"/>
              </w:numPr>
              <w:autoSpaceDE/>
              <w:autoSpaceDN/>
              <w:contextualSpacing/>
              <w:rPr>
                <w:rFonts w:asciiTheme="majorHAnsi" w:hAnsiTheme="majorHAnsi" w:cs="Arial"/>
                <w:sz w:val="16"/>
                <w:szCs w:val="16"/>
              </w:rPr>
            </w:pPr>
            <w:proofErr w:type="spellStart"/>
            <w:r w:rsidRPr="007A2F1C">
              <w:rPr>
                <w:rFonts w:asciiTheme="majorHAnsi" w:hAnsiTheme="majorHAnsi" w:cs="Arial"/>
                <w:sz w:val="16"/>
                <w:szCs w:val="16"/>
              </w:rPr>
              <w:t>Awosika</w:t>
            </w:r>
            <w:proofErr w:type="spellEnd"/>
            <w:r w:rsidRPr="007A2F1C">
              <w:rPr>
                <w:rFonts w:asciiTheme="majorHAnsi" w:hAnsiTheme="majorHAnsi" w:cs="Arial"/>
                <w:sz w:val="16"/>
                <w:szCs w:val="16"/>
              </w:rPr>
              <w:t xml:space="preserve"> AO, Farrar MC, Jacobs TF. Paclitaxel. Updated Nov 18, 2023. In: </w:t>
            </w:r>
            <w:proofErr w:type="spellStart"/>
            <w:r w:rsidRPr="007A2F1C">
              <w:rPr>
                <w:rFonts w:asciiTheme="majorHAnsi" w:hAnsiTheme="majorHAnsi" w:cs="Arial"/>
                <w:sz w:val="16"/>
                <w:szCs w:val="16"/>
              </w:rPr>
              <w:t>StatPearls</w:t>
            </w:r>
            <w:proofErr w:type="spellEnd"/>
            <w:r w:rsidRPr="007A2F1C">
              <w:rPr>
                <w:rFonts w:asciiTheme="majorHAnsi" w:hAnsiTheme="majorHAnsi" w:cs="Arial"/>
                <w:sz w:val="16"/>
                <w:szCs w:val="16"/>
              </w:rPr>
              <w:t xml:space="preserve"> [Internet]. Treasure Island (FL): </w:t>
            </w:r>
            <w:proofErr w:type="spellStart"/>
            <w:r w:rsidRPr="007A2F1C">
              <w:rPr>
                <w:rFonts w:asciiTheme="majorHAnsi" w:hAnsiTheme="majorHAnsi" w:cs="Arial"/>
                <w:sz w:val="16"/>
                <w:szCs w:val="16"/>
              </w:rPr>
              <w:t>StatPearls</w:t>
            </w:r>
            <w:proofErr w:type="spellEnd"/>
            <w:r w:rsidRPr="007A2F1C">
              <w:rPr>
                <w:rFonts w:asciiTheme="majorHAnsi" w:hAnsiTheme="majorHAnsi" w:cs="Arial"/>
                <w:sz w:val="16"/>
                <w:szCs w:val="16"/>
              </w:rPr>
              <w:t xml:space="preserve"> Publishing; 2024 Jan. Available at: https://www.ncbi.nlm.nih.gov/books/NBK536917/ </w:t>
            </w:r>
          </w:p>
          <w:p w14:paraId="540EA3DF" w14:textId="77777777" w:rsidR="00C35240" w:rsidRPr="007A2F1C" w:rsidRDefault="00C35240" w:rsidP="00F10A65">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 xml:space="preserve">US Food and Drug Administration (FDA). FDA-approved </w:t>
            </w:r>
            <w:proofErr w:type="spellStart"/>
            <w:r w:rsidRPr="007A2F1C">
              <w:rPr>
                <w:rFonts w:asciiTheme="majorHAnsi" w:hAnsiTheme="majorHAnsi" w:cs="Arial"/>
                <w:sz w:val="16"/>
                <w:szCs w:val="16"/>
              </w:rPr>
              <w:t>olaparib</w:t>
            </w:r>
            <w:proofErr w:type="spellEnd"/>
            <w:r w:rsidRPr="007A2F1C">
              <w:rPr>
                <w:rFonts w:asciiTheme="majorHAnsi" w:hAnsiTheme="majorHAnsi" w:cs="Arial"/>
                <w:sz w:val="16"/>
                <w:szCs w:val="16"/>
              </w:rPr>
              <w:t xml:space="preserve"> (LYNPARZA, AstraZeneca Pharmaceuticals LP) for the maintenance treatment of adult patients with deleterious or suspected deleterious germline or somatic BRCA-mutated (</w:t>
            </w:r>
            <w:proofErr w:type="spellStart"/>
            <w:r w:rsidRPr="007A2F1C">
              <w:rPr>
                <w:rFonts w:asciiTheme="majorHAnsi" w:hAnsiTheme="majorHAnsi" w:cs="Arial"/>
                <w:sz w:val="16"/>
                <w:szCs w:val="16"/>
              </w:rPr>
              <w:t>gBRCAm</w:t>
            </w:r>
            <w:proofErr w:type="spellEnd"/>
            <w:r w:rsidRPr="007A2F1C">
              <w:rPr>
                <w:rFonts w:asciiTheme="majorHAnsi" w:hAnsiTheme="majorHAnsi" w:cs="Arial"/>
                <w:sz w:val="16"/>
                <w:szCs w:val="16"/>
              </w:rPr>
              <w:t xml:space="preserve"> or </w:t>
            </w:r>
            <w:proofErr w:type="spellStart"/>
            <w:r w:rsidRPr="007A2F1C">
              <w:rPr>
                <w:rFonts w:asciiTheme="majorHAnsi" w:hAnsiTheme="majorHAnsi" w:cs="Arial"/>
                <w:sz w:val="16"/>
                <w:szCs w:val="16"/>
              </w:rPr>
              <w:t>sBRCAm</w:t>
            </w:r>
            <w:proofErr w:type="spellEnd"/>
            <w:r w:rsidRPr="007A2F1C">
              <w:rPr>
                <w:rFonts w:asciiTheme="majorHAnsi" w:hAnsiTheme="majorHAnsi" w:cs="Arial"/>
                <w:sz w:val="16"/>
                <w:szCs w:val="16"/>
              </w:rPr>
              <w:t>) advanced epithelial ovarian, fallopian tube or primary peritoneal cancer who are in complete or partial response to first-line platinum-based chemotherapy. Published December 26, 2018.</w:t>
            </w:r>
          </w:p>
          <w:p w14:paraId="41CF7894" w14:textId="77777777" w:rsidR="00C35240" w:rsidRPr="007A2F1C" w:rsidRDefault="00C35240" w:rsidP="00F10A65">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 xml:space="preserve">US Food and Drug Administration (FDA). FDA approves </w:t>
            </w:r>
            <w:proofErr w:type="spellStart"/>
            <w:r w:rsidRPr="007A2F1C">
              <w:rPr>
                <w:rFonts w:asciiTheme="majorHAnsi" w:hAnsiTheme="majorHAnsi" w:cs="Arial"/>
                <w:sz w:val="16"/>
                <w:szCs w:val="16"/>
              </w:rPr>
              <w:t>olaparib</w:t>
            </w:r>
            <w:proofErr w:type="spellEnd"/>
            <w:r w:rsidRPr="007A2F1C">
              <w:rPr>
                <w:rFonts w:asciiTheme="majorHAnsi" w:hAnsiTheme="majorHAnsi" w:cs="Arial"/>
                <w:sz w:val="16"/>
                <w:szCs w:val="16"/>
              </w:rPr>
              <w:t xml:space="preserve"> plus bevacizumab as maintenance treatment for ovarian, fallopian tube, or primary peritoneal cancers. Published May 8, 2020.</w:t>
            </w:r>
          </w:p>
          <w:p w14:paraId="2D792EAF" w14:textId="0AF832A6" w:rsidR="00C35240" w:rsidRPr="007A2F1C" w:rsidRDefault="00C35240" w:rsidP="00F10A65">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lang w:val="fr-FR"/>
              </w:rPr>
              <w:t xml:space="preserve">Ray-Coquard I, </w:t>
            </w:r>
            <w:proofErr w:type="spellStart"/>
            <w:r w:rsidRPr="007A2F1C">
              <w:rPr>
                <w:rFonts w:asciiTheme="majorHAnsi" w:hAnsiTheme="majorHAnsi" w:cs="Arial"/>
                <w:sz w:val="16"/>
                <w:szCs w:val="16"/>
                <w:lang w:val="fr-FR"/>
              </w:rPr>
              <w:t>Pautier</w:t>
            </w:r>
            <w:proofErr w:type="spellEnd"/>
            <w:r w:rsidRPr="007A2F1C">
              <w:rPr>
                <w:rFonts w:asciiTheme="majorHAnsi" w:hAnsiTheme="majorHAnsi" w:cs="Arial"/>
                <w:sz w:val="16"/>
                <w:szCs w:val="16"/>
                <w:lang w:val="fr-FR"/>
              </w:rPr>
              <w:t xml:space="preserve"> P, </w:t>
            </w:r>
            <w:proofErr w:type="spellStart"/>
            <w:r w:rsidRPr="007A2F1C">
              <w:rPr>
                <w:rFonts w:asciiTheme="majorHAnsi" w:hAnsiTheme="majorHAnsi" w:cs="Arial"/>
                <w:sz w:val="16"/>
                <w:szCs w:val="16"/>
                <w:lang w:val="fr-FR"/>
              </w:rPr>
              <w:t>Pérol</w:t>
            </w:r>
            <w:proofErr w:type="spellEnd"/>
            <w:r w:rsidRPr="007A2F1C">
              <w:rPr>
                <w:rFonts w:asciiTheme="majorHAnsi" w:hAnsiTheme="majorHAnsi" w:cs="Arial"/>
                <w:sz w:val="16"/>
                <w:szCs w:val="16"/>
                <w:lang w:val="fr-FR"/>
              </w:rPr>
              <w:t xml:space="preserve"> D, et al. </w:t>
            </w:r>
            <w:r w:rsidRPr="007A2F1C">
              <w:rPr>
                <w:rFonts w:asciiTheme="majorHAnsi" w:hAnsiTheme="majorHAnsi" w:cs="Arial"/>
                <w:sz w:val="16"/>
                <w:szCs w:val="16"/>
              </w:rPr>
              <w:t xml:space="preserve">Olaparib plus bevacizumab as first-line maintenance in ovarian cancer: </w:t>
            </w:r>
            <w:r w:rsidRPr="007A2F1C">
              <w:rPr>
                <w:rFonts w:asciiTheme="majorHAnsi" w:hAnsiTheme="majorHAnsi" w:cs="Arial"/>
                <w:i/>
                <w:iCs/>
                <w:sz w:val="16"/>
                <w:szCs w:val="16"/>
              </w:rPr>
              <w:t>N Engl J Med</w:t>
            </w:r>
            <w:r w:rsidRPr="007A2F1C">
              <w:rPr>
                <w:rFonts w:asciiTheme="majorHAnsi" w:hAnsiTheme="majorHAnsi" w:cs="Arial"/>
                <w:sz w:val="16"/>
                <w:szCs w:val="16"/>
              </w:rPr>
              <w:t xml:space="preserve">. 2019;381(25):2416-2428. </w:t>
            </w:r>
          </w:p>
          <w:p w14:paraId="0D4A56E6" w14:textId="39F2DD17" w:rsidR="00C35240" w:rsidRPr="007A2F1C" w:rsidRDefault="00C35240" w:rsidP="00F10A65">
            <w:pPr>
              <w:pStyle w:val="ListParagraph"/>
              <w:widowControl/>
              <w:numPr>
                <w:ilvl w:val="0"/>
                <w:numId w:val="19"/>
              </w:numPr>
              <w:autoSpaceDE/>
              <w:autoSpaceDN/>
              <w:contextualSpacing/>
              <w:rPr>
                <w:rFonts w:asciiTheme="majorHAnsi" w:hAnsiTheme="majorHAnsi" w:cs="Arial"/>
                <w:sz w:val="16"/>
                <w:szCs w:val="16"/>
              </w:rPr>
            </w:pPr>
            <w:r w:rsidRPr="007A2F1C">
              <w:rPr>
                <w:rStyle w:val="text-nowrap"/>
                <w:rFonts w:asciiTheme="majorHAnsi" w:hAnsiTheme="majorHAnsi"/>
                <w:color w:val="000000"/>
                <w:sz w:val="16"/>
                <w:szCs w:val="16"/>
                <w:shd w:val="clear" w:color="auto" w:fill="FFFFFF"/>
              </w:rPr>
              <w:t>Ray-</w:t>
            </w:r>
            <w:proofErr w:type="spellStart"/>
            <w:r w:rsidRPr="007A2F1C">
              <w:rPr>
                <w:rStyle w:val="text-nowrap"/>
                <w:rFonts w:asciiTheme="majorHAnsi" w:hAnsiTheme="majorHAnsi"/>
                <w:color w:val="000000"/>
                <w:sz w:val="16"/>
                <w:szCs w:val="16"/>
                <w:shd w:val="clear" w:color="auto" w:fill="FFFFFF"/>
              </w:rPr>
              <w:t>Coquard</w:t>
            </w:r>
            <w:proofErr w:type="spellEnd"/>
            <w:r w:rsidRPr="007A2F1C">
              <w:rPr>
                <w:rStyle w:val="text-nowrap"/>
                <w:rFonts w:asciiTheme="majorHAnsi" w:hAnsiTheme="majorHAnsi"/>
                <w:color w:val="000000"/>
                <w:sz w:val="16"/>
                <w:szCs w:val="16"/>
                <w:shd w:val="clear" w:color="auto" w:fill="FFFFFF"/>
              </w:rPr>
              <w:t xml:space="preserve"> I,</w:t>
            </w:r>
            <w:r w:rsidRPr="007A2F1C">
              <w:rPr>
                <w:rFonts w:asciiTheme="majorHAnsi" w:hAnsiTheme="majorHAnsi"/>
                <w:color w:val="000000"/>
                <w:sz w:val="16"/>
                <w:szCs w:val="16"/>
                <w:shd w:val="clear" w:color="auto" w:fill="FFFFFF"/>
              </w:rPr>
              <w:t> </w:t>
            </w:r>
            <w:proofErr w:type="spellStart"/>
            <w:r w:rsidRPr="007A2F1C">
              <w:rPr>
                <w:rFonts w:asciiTheme="majorHAnsi" w:hAnsiTheme="majorHAnsi"/>
                <w:color w:val="000000"/>
                <w:sz w:val="16"/>
                <w:szCs w:val="16"/>
                <w:shd w:val="clear" w:color="auto" w:fill="FFFFFF"/>
              </w:rPr>
              <w:t>Pautier</w:t>
            </w:r>
            <w:proofErr w:type="spellEnd"/>
            <w:r w:rsidRPr="007A2F1C">
              <w:rPr>
                <w:rFonts w:asciiTheme="majorHAnsi" w:hAnsiTheme="majorHAnsi"/>
                <w:color w:val="000000"/>
                <w:sz w:val="16"/>
                <w:szCs w:val="16"/>
                <w:shd w:val="clear" w:color="auto" w:fill="FFFFFF"/>
              </w:rPr>
              <w:t xml:space="preserve"> P, </w:t>
            </w:r>
            <w:proofErr w:type="spellStart"/>
            <w:r w:rsidRPr="007A2F1C">
              <w:rPr>
                <w:rFonts w:asciiTheme="majorHAnsi" w:hAnsiTheme="majorHAnsi"/>
                <w:color w:val="000000"/>
                <w:sz w:val="16"/>
                <w:szCs w:val="16"/>
                <w:shd w:val="clear" w:color="auto" w:fill="FFFFFF"/>
              </w:rPr>
              <w:t>Pignata</w:t>
            </w:r>
            <w:proofErr w:type="spellEnd"/>
            <w:r w:rsidRPr="007A2F1C">
              <w:rPr>
                <w:rFonts w:asciiTheme="majorHAnsi" w:hAnsiTheme="majorHAnsi"/>
                <w:color w:val="000000"/>
                <w:sz w:val="16"/>
                <w:szCs w:val="16"/>
                <w:shd w:val="clear" w:color="auto" w:fill="FFFFFF"/>
              </w:rPr>
              <w:t xml:space="preserve"> S, et al. Olaparib plus bevacizumab as first-line maintenance in ovarian cancer. Supplementary Appendix. </w:t>
            </w:r>
            <w:r w:rsidRPr="007A2F1C">
              <w:rPr>
                <w:rStyle w:val="font-italic"/>
                <w:rFonts w:asciiTheme="majorHAnsi" w:hAnsiTheme="majorHAnsi"/>
                <w:i/>
                <w:iCs/>
                <w:color w:val="000000"/>
                <w:sz w:val="16"/>
                <w:szCs w:val="16"/>
                <w:shd w:val="clear" w:color="auto" w:fill="FFFFFF"/>
              </w:rPr>
              <w:t>N Engl J Med</w:t>
            </w:r>
            <w:r w:rsidRPr="007A2F1C">
              <w:rPr>
                <w:rFonts w:asciiTheme="majorHAnsi" w:hAnsiTheme="majorHAnsi"/>
                <w:color w:val="000000"/>
                <w:sz w:val="16"/>
                <w:szCs w:val="16"/>
                <w:shd w:val="clear" w:color="auto" w:fill="FFFFFF"/>
              </w:rPr>
              <w:t>. 2019;38(25):</w:t>
            </w:r>
            <w:r w:rsidRPr="007A2F1C">
              <w:rPr>
                <w:rStyle w:val="tel-no-color-change"/>
                <w:rFonts w:asciiTheme="majorHAnsi" w:hAnsiTheme="majorHAnsi"/>
                <w:color w:val="000000"/>
                <w:sz w:val="16"/>
                <w:szCs w:val="16"/>
                <w:shd w:val="clear" w:color="auto" w:fill="FFFFFF"/>
              </w:rPr>
              <w:t>2416-2428.</w:t>
            </w:r>
          </w:p>
          <w:p w14:paraId="76DD46D7" w14:textId="77777777" w:rsidR="00C35240" w:rsidRPr="007A2F1C" w:rsidRDefault="00C35240" w:rsidP="00F10A65">
            <w:pPr>
              <w:pStyle w:val="ListParagraph"/>
              <w:numPr>
                <w:ilvl w:val="0"/>
                <w:numId w:val="19"/>
              </w:numPr>
              <w:rPr>
                <w:rFonts w:asciiTheme="majorHAnsi" w:hAnsiTheme="majorHAnsi" w:cs="Arial"/>
                <w:sz w:val="16"/>
                <w:szCs w:val="16"/>
              </w:rPr>
            </w:pPr>
            <w:r w:rsidRPr="007A2F1C">
              <w:rPr>
                <w:rFonts w:asciiTheme="majorHAnsi" w:hAnsiTheme="majorHAnsi" w:cs="Arial"/>
                <w:sz w:val="16"/>
                <w:szCs w:val="16"/>
                <w:lang w:val="es-ES"/>
              </w:rPr>
              <w:t xml:space="preserve">Lozano R, Castro E, Aragón IM, et al. </w:t>
            </w:r>
            <w:r w:rsidRPr="007A2F1C">
              <w:rPr>
                <w:rFonts w:asciiTheme="majorHAnsi" w:hAnsiTheme="majorHAnsi" w:cs="Arial"/>
                <w:sz w:val="16"/>
                <w:szCs w:val="16"/>
              </w:rPr>
              <w:t xml:space="preserve">Genetic aberrations in DNA repair pathways: a cornerstone of precision oncology in prostate cancer. </w:t>
            </w:r>
            <w:r w:rsidRPr="007A2F1C">
              <w:rPr>
                <w:rFonts w:asciiTheme="majorHAnsi" w:hAnsiTheme="majorHAnsi" w:cs="Arial"/>
                <w:i/>
                <w:iCs/>
                <w:sz w:val="16"/>
                <w:szCs w:val="16"/>
              </w:rPr>
              <w:t xml:space="preserve">Br J Cancer. </w:t>
            </w:r>
            <w:proofErr w:type="gramStart"/>
            <w:r w:rsidRPr="007A2F1C">
              <w:rPr>
                <w:rFonts w:asciiTheme="majorHAnsi" w:hAnsiTheme="majorHAnsi" w:cs="Arial"/>
                <w:sz w:val="16"/>
                <w:szCs w:val="16"/>
              </w:rPr>
              <w:t>2021;124:552</w:t>
            </w:r>
            <w:proofErr w:type="gramEnd"/>
            <w:r w:rsidRPr="007A2F1C">
              <w:rPr>
                <w:rFonts w:asciiTheme="majorHAnsi" w:hAnsiTheme="majorHAnsi" w:cs="Arial"/>
                <w:sz w:val="16"/>
                <w:szCs w:val="16"/>
              </w:rPr>
              <w:t>–563.</w:t>
            </w:r>
          </w:p>
          <w:p w14:paraId="21F39A9F" w14:textId="77777777" w:rsidR="00C35240" w:rsidRPr="007A2F1C" w:rsidRDefault="00C35240" w:rsidP="00F10A65">
            <w:pPr>
              <w:pStyle w:val="ListParagraph"/>
              <w:numPr>
                <w:ilvl w:val="0"/>
                <w:numId w:val="19"/>
              </w:numPr>
              <w:rPr>
                <w:rFonts w:asciiTheme="majorHAnsi" w:hAnsiTheme="majorHAnsi" w:cs="Arial"/>
                <w:sz w:val="16"/>
                <w:szCs w:val="16"/>
              </w:rPr>
            </w:pPr>
            <w:proofErr w:type="spellStart"/>
            <w:r w:rsidRPr="007A2F1C">
              <w:rPr>
                <w:rFonts w:asciiTheme="majorHAnsi" w:hAnsiTheme="majorHAnsi" w:cs="Arial"/>
                <w:sz w:val="16"/>
                <w:szCs w:val="16"/>
                <w:lang w:val="fr-FR"/>
              </w:rPr>
              <w:t>Mangogna</w:t>
            </w:r>
            <w:proofErr w:type="spellEnd"/>
            <w:r w:rsidRPr="007A2F1C">
              <w:rPr>
                <w:rFonts w:asciiTheme="majorHAnsi" w:hAnsiTheme="majorHAnsi" w:cs="Arial"/>
                <w:sz w:val="16"/>
                <w:szCs w:val="16"/>
                <w:lang w:val="fr-FR"/>
              </w:rPr>
              <w:t xml:space="preserve"> A, </w:t>
            </w:r>
            <w:proofErr w:type="spellStart"/>
            <w:r w:rsidRPr="007A2F1C">
              <w:rPr>
                <w:rFonts w:asciiTheme="majorHAnsi" w:hAnsiTheme="majorHAnsi" w:cs="Arial"/>
                <w:sz w:val="16"/>
                <w:szCs w:val="16"/>
                <w:lang w:val="fr-FR"/>
              </w:rPr>
              <w:t>Munari</w:t>
            </w:r>
            <w:proofErr w:type="spellEnd"/>
            <w:r w:rsidRPr="007A2F1C">
              <w:rPr>
                <w:rFonts w:asciiTheme="majorHAnsi" w:hAnsiTheme="majorHAnsi" w:cs="Arial"/>
                <w:sz w:val="16"/>
                <w:szCs w:val="16"/>
                <w:lang w:val="fr-FR"/>
              </w:rPr>
              <w:t xml:space="preserve"> G, Pepe F, et al. </w:t>
            </w:r>
            <w:r w:rsidRPr="007A2F1C">
              <w:rPr>
                <w:rFonts w:asciiTheme="majorHAnsi" w:hAnsiTheme="majorHAnsi" w:cs="Arial"/>
                <w:sz w:val="16"/>
                <w:szCs w:val="16"/>
              </w:rPr>
              <w:t xml:space="preserve">Homologous recombination deficiency in ovarian cancer: from the biological rationale to current diagnostic approaches. </w:t>
            </w:r>
            <w:r w:rsidRPr="007A2F1C">
              <w:rPr>
                <w:rFonts w:asciiTheme="majorHAnsi" w:hAnsiTheme="majorHAnsi" w:cs="Arial"/>
                <w:i/>
                <w:iCs/>
                <w:sz w:val="16"/>
                <w:szCs w:val="16"/>
              </w:rPr>
              <w:t>J Pers Med</w:t>
            </w:r>
            <w:r w:rsidRPr="007A2F1C">
              <w:rPr>
                <w:rFonts w:asciiTheme="majorHAnsi" w:hAnsiTheme="majorHAnsi" w:cs="Arial"/>
                <w:sz w:val="16"/>
                <w:szCs w:val="16"/>
              </w:rPr>
              <w:t xml:space="preserve">. </w:t>
            </w:r>
            <w:proofErr w:type="gramStart"/>
            <w:r w:rsidRPr="007A2F1C">
              <w:rPr>
                <w:rFonts w:asciiTheme="majorHAnsi" w:hAnsiTheme="majorHAnsi" w:cs="Arial"/>
                <w:sz w:val="16"/>
                <w:szCs w:val="16"/>
              </w:rPr>
              <w:t>2023;13:284</w:t>
            </w:r>
            <w:proofErr w:type="gramEnd"/>
            <w:r w:rsidRPr="007A2F1C">
              <w:rPr>
                <w:rFonts w:asciiTheme="majorHAnsi" w:hAnsiTheme="majorHAnsi" w:cs="Arial"/>
                <w:sz w:val="16"/>
                <w:szCs w:val="16"/>
              </w:rPr>
              <w:t>.</w:t>
            </w:r>
          </w:p>
          <w:p w14:paraId="041F57A1" w14:textId="77777777" w:rsidR="00C35240" w:rsidRPr="007A2F1C" w:rsidRDefault="00C35240" w:rsidP="00B26EDF">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Ray-</w:t>
            </w:r>
            <w:proofErr w:type="spellStart"/>
            <w:r w:rsidRPr="007A2F1C">
              <w:rPr>
                <w:rFonts w:asciiTheme="majorHAnsi" w:hAnsiTheme="majorHAnsi" w:cs="Arial"/>
                <w:sz w:val="16"/>
                <w:szCs w:val="16"/>
              </w:rPr>
              <w:t>Coquard</w:t>
            </w:r>
            <w:proofErr w:type="spellEnd"/>
            <w:r w:rsidRPr="007A2F1C">
              <w:rPr>
                <w:rFonts w:asciiTheme="majorHAnsi" w:hAnsiTheme="majorHAnsi" w:cs="Arial"/>
                <w:sz w:val="16"/>
                <w:szCs w:val="16"/>
              </w:rPr>
              <w:t xml:space="preserve"> I, Leary A, </w:t>
            </w:r>
            <w:proofErr w:type="spellStart"/>
            <w:r w:rsidRPr="007A2F1C">
              <w:rPr>
                <w:rFonts w:asciiTheme="majorHAnsi" w:hAnsiTheme="majorHAnsi" w:cs="Arial"/>
                <w:sz w:val="16"/>
                <w:szCs w:val="16"/>
              </w:rPr>
              <w:t>Pignata</w:t>
            </w:r>
            <w:proofErr w:type="spellEnd"/>
            <w:r w:rsidRPr="007A2F1C">
              <w:rPr>
                <w:rFonts w:asciiTheme="majorHAnsi" w:hAnsiTheme="majorHAnsi" w:cs="Arial"/>
                <w:sz w:val="16"/>
                <w:szCs w:val="16"/>
              </w:rPr>
              <w:t xml:space="preserve"> S, et al. Olaparib plus bevacizumab first-line maintenance in ovarian cancer: final overall survival results from the PAOLA-1/ENGOT-ov25 trial. </w:t>
            </w:r>
            <w:r w:rsidRPr="007A2F1C">
              <w:rPr>
                <w:rFonts w:asciiTheme="majorHAnsi" w:hAnsiTheme="majorHAnsi" w:cs="Arial"/>
                <w:i/>
                <w:iCs/>
                <w:sz w:val="16"/>
                <w:szCs w:val="16"/>
              </w:rPr>
              <w:t>Ann Oncol</w:t>
            </w:r>
            <w:r w:rsidRPr="007A2F1C">
              <w:rPr>
                <w:rFonts w:asciiTheme="majorHAnsi" w:hAnsiTheme="majorHAnsi" w:cs="Arial"/>
                <w:sz w:val="16"/>
                <w:szCs w:val="16"/>
              </w:rPr>
              <w:t xml:space="preserve">. 2023;34(8):681-692. </w:t>
            </w:r>
          </w:p>
          <w:p w14:paraId="7C1F3470" w14:textId="77777777" w:rsidR="00C35240" w:rsidRPr="007A2F1C" w:rsidRDefault="00C35240" w:rsidP="00B26EDF">
            <w:pPr>
              <w:pStyle w:val="ListParagraph"/>
              <w:widowControl/>
              <w:numPr>
                <w:ilvl w:val="0"/>
                <w:numId w:val="19"/>
              </w:numPr>
              <w:autoSpaceDE/>
              <w:autoSpaceDN/>
              <w:contextualSpacing/>
              <w:rPr>
                <w:rFonts w:asciiTheme="majorHAnsi" w:hAnsiTheme="majorHAnsi" w:cs="Arial"/>
                <w:sz w:val="16"/>
                <w:szCs w:val="16"/>
              </w:rPr>
            </w:pPr>
            <w:proofErr w:type="spellStart"/>
            <w:r w:rsidRPr="007A2F1C">
              <w:rPr>
                <w:rFonts w:asciiTheme="majorHAnsi" w:hAnsiTheme="majorHAnsi" w:cs="Arial"/>
                <w:sz w:val="16"/>
                <w:szCs w:val="16"/>
                <w:lang w:val="fr-FR"/>
              </w:rPr>
              <w:t>Harter</w:t>
            </w:r>
            <w:proofErr w:type="spellEnd"/>
            <w:r w:rsidRPr="007A2F1C">
              <w:rPr>
                <w:rFonts w:asciiTheme="majorHAnsi" w:hAnsiTheme="majorHAnsi" w:cs="Arial"/>
                <w:sz w:val="16"/>
                <w:szCs w:val="16"/>
                <w:lang w:val="fr-FR"/>
              </w:rPr>
              <w:t xml:space="preserve"> P, Mouret-</w:t>
            </w:r>
            <w:proofErr w:type="spellStart"/>
            <w:r w:rsidRPr="007A2F1C">
              <w:rPr>
                <w:rFonts w:asciiTheme="majorHAnsi" w:hAnsiTheme="majorHAnsi" w:cs="Arial"/>
                <w:sz w:val="16"/>
                <w:szCs w:val="16"/>
                <w:lang w:val="fr-FR"/>
              </w:rPr>
              <w:t>Reynier</w:t>
            </w:r>
            <w:proofErr w:type="spellEnd"/>
            <w:r w:rsidRPr="007A2F1C">
              <w:rPr>
                <w:rFonts w:asciiTheme="majorHAnsi" w:hAnsiTheme="majorHAnsi" w:cs="Arial"/>
                <w:sz w:val="16"/>
                <w:szCs w:val="16"/>
                <w:lang w:val="fr-FR"/>
              </w:rPr>
              <w:t xml:space="preserve"> MA, </w:t>
            </w:r>
            <w:proofErr w:type="spellStart"/>
            <w:r w:rsidRPr="007A2F1C">
              <w:rPr>
                <w:rFonts w:asciiTheme="majorHAnsi" w:hAnsiTheme="majorHAnsi" w:cs="Arial"/>
                <w:sz w:val="16"/>
                <w:szCs w:val="16"/>
                <w:lang w:val="fr-FR"/>
              </w:rPr>
              <w:t>Pignata</w:t>
            </w:r>
            <w:proofErr w:type="spellEnd"/>
            <w:r w:rsidRPr="007A2F1C">
              <w:rPr>
                <w:rFonts w:asciiTheme="majorHAnsi" w:hAnsiTheme="majorHAnsi" w:cs="Arial"/>
                <w:sz w:val="16"/>
                <w:szCs w:val="16"/>
                <w:lang w:val="fr-FR"/>
              </w:rPr>
              <w:t xml:space="preserve"> S, et al. </w:t>
            </w:r>
            <w:r w:rsidRPr="007A2F1C">
              <w:rPr>
                <w:rFonts w:asciiTheme="majorHAnsi" w:hAnsiTheme="majorHAnsi" w:cs="Arial"/>
                <w:sz w:val="16"/>
                <w:szCs w:val="16"/>
              </w:rPr>
              <w:t xml:space="preserve">Efficacy of maintenance </w:t>
            </w:r>
            <w:proofErr w:type="spellStart"/>
            <w:r w:rsidRPr="007A2F1C">
              <w:rPr>
                <w:rFonts w:asciiTheme="majorHAnsi" w:hAnsiTheme="majorHAnsi" w:cs="Arial"/>
                <w:sz w:val="16"/>
                <w:szCs w:val="16"/>
              </w:rPr>
              <w:t>olaparib</w:t>
            </w:r>
            <w:proofErr w:type="spellEnd"/>
            <w:r w:rsidRPr="007A2F1C">
              <w:rPr>
                <w:rFonts w:asciiTheme="majorHAnsi" w:hAnsiTheme="majorHAnsi" w:cs="Arial"/>
                <w:sz w:val="16"/>
                <w:szCs w:val="16"/>
              </w:rPr>
              <w:t xml:space="preserve"> plus bevacizumab according to clinical risk in patients with newly diagnosed, advanced ovarian cancer in the phase III PAOLA-1/ENGOT-ov25 trial. </w:t>
            </w:r>
            <w:proofErr w:type="spellStart"/>
            <w:r w:rsidRPr="007A2F1C">
              <w:rPr>
                <w:rFonts w:asciiTheme="majorHAnsi" w:hAnsiTheme="majorHAnsi" w:cs="Arial"/>
                <w:i/>
                <w:iCs/>
                <w:sz w:val="16"/>
                <w:szCs w:val="16"/>
              </w:rPr>
              <w:t>Gynecol</w:t>
            </w:r>
            <w:proofErr w:type="spellEnd"/>
            <w:r w:rsidRPr="007A2F1C">
              <w:rPr>
                <w:rFonts w:asciiTheme="majorHAnsi" w:hAnsiTheme="majorHAnsi" w:cs="Arial"/>
                <w:i/>
                <w:iCs/>
                <w:sz w:val="16"/>
                <w:szCs w:val="16"/>
              </w:rPr>
              <w:t xml:space="preserve"> Oncol</w:t>
            </w:r>
            <w:r w:rsidRPr="007A2F1C">
              <w:rPr>
                <w:rFonts w:asciiTheme="majorHAnsi" w:hAnsiTheme="majorHAnsi" w:cs="Arial"/>
                <w:sz w:val="16"/>
                <w:szCs w:val="16"/>
              </w:rPr>
              <w:t>. 2022;164(2):254-264.</w:t>
            </w:r>
          </w:p>
          <w:p w14:paraId="68997D56" w14:textId="77777777" w:rsidR="00C35240" w:rsidRPr="007A2F1C" w:rsidRDefault="00C35240" w:rsidP="00B26EDF">
            <w:pPr>
              <w:pStyle w:val="ListParagraph"/>
              <w:widowControl/>
              <w:numPr>
                <w:ilvl w:val="0"/>
                <w:numId w:val="19"/>
              </w:numPr>
              <w:autoSpaceDE/>
              <w:autoSpaceDN/>
              <w:ind w:right="86"/>
              <w:contextualSpacing/>
              <w:rPr>
                <w:rFonts w:asciiTheme="majorHAnsi" w:hAnsiTheme="majorHAnsi" w:cs="Arial"/>
                <w:sz w:val="16"/>
                <w:szCs w:val="16"/>
              </w:rPr>
            </w:pPr>
            <w:proofErr w:type="spellStart"/>
            <w:r w:rsidRPr="007A2F1C">
              <w:rPr>
                <w:rFonts w:asciiTheme="majorHAnsi" w:hAnsiTheme="majorHAnsi" w:cs="Arial"/>
                <w:sz w:val="16"/>
                <w:szCs w:val="16"/>
                <w:lang w:val="fr-FR"/>
              </w:rPr>
              <w:t>Konstantinopoulos</w:t>
            </w:r>
            <w:proofErr w:type="spellEnd"/>
            <w:r w:rsidRPr="007A2F1C">
              <w:rPr>
                <w:rFonts w:asciiTheme="majorHAnsi" w:hAnsiTheme="majorHAnsi" w:cs="Arial"/>
                <w:sz w:val="16"/>
                <w:szCs w:val="16"/>
                <w:lang w:val="fr-FR"/>
              </w:rPr>
              <w:t xml:space="preserve"> PA, </w:t>
            </w:r>
            <w:proofErr w:type="spellStart"/>
            <w:r w:rsidRPr="007A2F1C">
              <w:rPr>
                <w:rFonts w:asciiTheme="majorHAnsi" w:hAnsiTheme="majorHAnsi" w:cs="Arial"/>
                <w:sz w:val="16"/>
                <w:szCs w:val="16"/>
                <w:lang w:val="fr-FR"/>
              </w:rPr>
              <w:t>Norquist</w:t>
            </w:r>
            <w:proofErr w:type="spellEnd"/>
            <w:r w:rsidRPr="007A2F1C">
              <w:rPr>
                <w:rFonts w:asciiTheme="majorHAnsi" w:hAnsiTheme="majorHAnsi" w:cs="Arial"/>
                <w:sz w:val="16"/>
                <w:szCs w:val="16"/>
                <w:lang w:val="fr-FR"/>
              </w:rPr>
              <w:t xml:space="preserve"> B, </w:t>
            </w:r>
            <w:proofErr w:type="spellStart"/>
            <w:r w:rsidRPr="007A2F1C">
              <w:rPr>
                <w:rFonts w:asciiTheme="majorHAnsi" w:hAnsiTheme="majorHAnsi" w:cs="Arial"/>
                <w:sz w:val="16"/>
                <w:szCs w:val="16"/>
                <w:lang w:val="fr-FR"/>
              </w:rPr>
              <w:t>Lacchetti</w:t>
            </w:r>
            <w:proofErr w:type="spellEnd"/>
            <w:r w:rsidRPr="007A2F1C">
              <w:rPr>
                <w:rFonts w:asciiTheme="majorHAnsi" w:hAnsiTheme="majorHAnsi" w:cs="Arial"/>
                <w:sz w:val="16"/>
                <w:szCs w:val="16"/>
                <w:lang w:val="fr-FR"/>
              </w:rPr>
              <w:t xml:space="preserve"> C, et al. </w:t>
            </w:r>
            <w:r w:rsidRPr="007A2F1C">
              <w:rPr>
                <w:rFonts w:asciiTheme="majorHAnsi" w:hAnsiTheme="majorHAnsi" w:cs="Arial"/>
                <w:sz w:val="16"/>
                <w:szCs w:val="16"/>
              </w:rPr>
              <w:t xml:space="preserve">Germline and somatic tumor testing in epithelial ovarian cancer: ASCO Guideline. </w:t>
            </w:r>
            <w:r w:rsidRPr="007A2F1C">
              <w:rPr>
                <w:rFonts w:asciiTheme="majorHAnsi" w:hAnsiTheme="majorHAnsi" w:cs="Arial"/>
                <w:i/>
                <w:iCs/>
                <w:sz w:val="16"/>
                <w:szCs w:val="16"/>
              </w:rPr>
              <w:t>J Clin Oncol</w:t>
            </w:r>
            <w:r w:rsidRPr="007A2F1C">
              <w:rPr>
                <w:rFonts w:asciiTheme="majorHAnsi" w:hAnsiTheme="majorHAnsi" w:cs="Arial"/>
                <w:sz w:val="16"/>
                <w:szCs w:val="16"/>
              </w:rPr>
              <w:t xml:space="preserve">. </w:t>
            </w:r>
            <w:proofErr w:type="gramStart"/>
            <w:r w:rsidRPr="007A2F1C">
              <w:rPr>
                <w:rFonts w:asciiTheme="majorHAnsi" w:hAnsiTheme="majorHAnsi" w:cs="Arial"/>
                <w:sz w:val="16"/>
                <w:szCs w:val="16"/>
              </w:rPr>
              <w:t>2020;38:1222</w:t>
            </w:r>
            <w:proofErr w:type="gramEnd"/>
            <w:r w:rsidRPr="007A2F1C">
              <w:rPr>
                <w:rFonts w:asciiTheme="majorHAnsi" w:hAnsiTheme="majorHAnsi" w:cs="Arial"/>
                <w:sz w:val="16"/>
                <w:szCs w:val="16"/>
              </w:rPr>
              <w:t>-1245.</w:t>
            </w:r>
          </w:p>
          <w:p w14:paraId="5AED4E57" w14:textId="4623DB1B" w:rsidR="00C35240" w:rsidRPr="007A2F1C" w:rsidRDefault="00C35240" w:rsidP="00B26EDF">
            <w:pPr>
              <w:pStyle w:val="ListParagraph"/>
              <w:widowControl/>
              <w:numPr>
                <w:ilvl w:val="0"/>
                <w:numId w:val="19"/>
              </w:numPr>
              <w:autoSpaceDE/>
              <w:autoSpaceDN/>
              <w:ind w:right="86"/>
              <w:contextualSpacing/>
              <w:rPr>
                <w:rFonts w:asciiTheme="majorHAnsi" w:hAnsiTheme="majorHAnsi" w:cs="Arial"/>
                <w:sz w:val="16"/>
                <w:szCs w:val="16"/>
              </w:rPr>
            </w:pPr>
            <w:r w:rsidRPr="007A2F1C">
              <w:rPr>
                <w:rFonts w:asciiTheme="majorHAnsi" w:hAnsiTheme="majorHAnsi" w:cs="Arial"/>
                <w:sz w:val="16"/>
                <w:szCs w:val="16"/>
              </w:rPr>
              <w:t>US Food and Drug Administration (FDA). List of cleared or approved companion diagnostic devices (in vitro and imaging tools). Published May 1, 2024.</w:t>
            </w:r>
          </w:p>
          <w:p w14:paraId="7A11F6D0" w14:textId="6D309484" w:rsidR="00C35240" w:rsidRPr="007A2F1C" w:rsidRDefault="00C35240" w:rsidP="002D1400">
            <w:pPr>
              <w:pStyle w:val="ListParagraph"/>
              <w:widowControl/>
              <w:numPr>
                <w:ilvl w:val="0"/>
                <w:numId w:val="19"/>
              </w:numPr>
              <w:autoSpaceDE/>
              <w:autoSpaceDN/>
              <w:contextualSpacing/>
              <w:rPr>
                <w:rFonts w:asciiTheme="majorHAnsi" w:hAnsiTheme="majorHAnsi" w:cs="Arial"/>
                <w:sz w:val="16"/>
                <w:szCs w:val="16"/>
              </w:rPr>
            </w:pPr>
            <w:r w:rsidRPr="007A2F1C">
              <w:rPr>
                <w:rFonts w:asciiTheme="majorHAnsi" w:hAnsiTheme="majorHAnsi" w:cs="Arial"/>
                <w:sz w:val="16"/>
                <w:szCs w:val="16"/>
              </w:rPr>
              <w:t xml:space="preserve">Myriad Genetics, Inc. </w:t>
            </w:r>
            <w:proofErr w:type="spellStart"/>
            <w:r w:rsidRPr="007A2F1C">
              <w:rPr>
                <w:rFonts w:asciiTheme="majorHAnsi" w:hAnsiTheme="majorHAnsi" w:cs="Arial"/>
                <w:sz w:val="16"/>
                <w:szCs w:val="16"/>
              </w:rPr>
              <w:t>MyChoice</w:t>
            </w:r>
            <w:proofErr w:type="spellEnd"/>
            <w:r w:rsidRPr="007A2F1C">
              <w:rPr>
                <w:rFonts w:asciiTheme="majorHAnsi" w:hAnsiTheme="majorHAnsi" w:cs="Arial"/>
                <w:sz w:val="16"/>
                <w:szCs w:val="16"/>
                <w:vertAlign w:val="superscript"/>
              </w:rPr>
              <w:t>®</w:t>
            </w:r>
            <w:r w:rsidRPr="007A2F1C">
              <w:rPr>
                <w:rFonts w:asciiTheme="majorHAnsi" w:hAnsiTheme="majorHAnsi" w:cs="Arial"/>
                <w:sz w:val="16"/>
                <w:szCs w:val="16"/>
              </w:rPr>
              <w:t xml:space="preserve"> </w:t>
            </w:r>
            <w:proofErr w:type="spellStart"/>
            <w:r w:rsidRPr="007A2F1C">
              <w:rPr>
                <w:rFonts w:asciiTheme="majorHAnsi" w:hAnsiTheme="majorHAnsi" w:cs="Arial"/>
                <w:sz w:val="16"/>
                <w:szCs w:val="16"/>
              </w:rPr>
              <w:t>CDx</w:t>
            </w:r>
            <w:proofErr w:type="spellEnd"/>
            <w:r w:rsidRPr="007A2F1C">
              <w:rPr>
                <w:rFonts w:asciiTheme="majorHAnsi" w:hAnsiTheme="majorHAnsi" w:cs="Arial"/>
                <w:sz w:val="16"/>
                <w:szCs w:val="16"/>
              </w:rPr>
              <w:t xml:space="preserve"> Myriad HRD Companion Diagnostic Test. 2024. https://myriad.com/genetic-tests/mychoicecdx-tumor-test/.</w:t>
            </w:r>
          </w:p>
        </w:tc>
      </w:tr>
      <w:bookmarkEnd w:id="0"/>
      <w:bookmarkEnd w:id="1"/>
    </w:tbl>
    <w:p w14:paraId="6C02121B" w14:textId="067C3918" w:rsidR="007E3923" w:rsidRDefault="007E3923" w:rsidP="00B0638B"/>
    <w:sectPr w:rsidR="007E3923" w:rsidSect="00593B32">
      <w:headerReference w:type="default" r:id="rId13"/>
      <w:footerReference w:type="default" r:id="rId14"/>
      <w:pgSz w:w="15840" w:h="12240" w:orient="landscape"/>
      <w:pgMar w:top="629" w:right="1979" w:bottom="629" w:left="144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7A195" w14:textId="77777777" w:rsidR="0001059C" w:rsidRPr="00046447" w:rsidRDefault="0001059C" w:rsidP="006A0EB4">
      <w:pPr>
        <w:spacing w:after="0" w:line="240" w:lineRule="auto"/>
      </w:pPr>
      <w:r w:rsidRPr="00046447">
        <w:separator/>
      </w:r>
    </w:p>
  </w:endnote>
  <w:endnote w:type="continuationSeparator" w:id="0">
    <w:p w14:paraId="6A17A4C3" w14:textId="77777777" w:rsidR="0001059C" w:rsidRPr="00046447" w:rsidRDefault="0001059C" w:rsidP="006A0EB4">
      <w:pPr>
        <w:spacing w:after="0" w:line="240" w:lineRule="auto"/>
      </w:pPr>
      <w:r w:rsidRPr="00046447">
        <w:continuationSeparator/>
      </w:r>
    </w:p>
  </w:endnote>
  <w:endnote w:type="continuationNotice" w:id="1">
    <w:p w14:paraId="5A485320" w14:textId="77777777" w:rsidR="0001059C" w:rsidRPr="00046447" w:rsidRDefault="00010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0000000000000000000"/>
    <w:charset w:val="00"/>
    <w:family w:val="modern"/>
    <w:notTrueType/>
    <w:pitch w:val="variable"/>
    <w:sig w:usb0="A10000FF" w:usb1="4000005B" w:usb2="00000000" w:usb3="00000000" w:csb0="0000009B"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91AB" w14:textId="7066F159" w:rsidR="0089430F" w:rsidRPr="00046447" w:rsidRDefault="0089430F" w:rsidP="00C35240">
    <w:pPr>
      <w:pStyle w:val="Footer"/>
      <w:tabs>
        <w:tab w:val="clear" w:pos="4680"/>
        <w:tab w:val="clear" w:pos="9360"/>
        <w:tab w:val="center" w:pos="8460"/>
      </w:tabs>
      <w:ind w:right="-90"/>
      <w:rPr>
        <w:color w:val="324C61" w:themeColor="text2"/>
      </w:rPr>
    </w:pPr>
    <w:r w:rsidRPr="00046447">
      <w:rPr>
        <w:color w:val="324C61" w:themeColor="text2"/>
      </w:rPr>
      <w:tab/>
    </w:r>
    <w:r w:rsidRPr="00046447">
      <w:rPr>
        <w:color w:val="324C61" w:themeColor="text2"/>
      </w:rPr>
      <w:tab/>
    </w:r>
    <w:r w:rsidRPr="00046447">
      <w:rPr>
        <w:color w:val="324C61" w:themeColor="text2"/>
      </w:rPr>
      <w:tab/>
      <w:t xml:space="preserve">    </w:t>
    </w:r>
    <w:r w:rsidR="00FF10F2" w:rsidRPr="00046447">
      <w:rPr>
        <w:color w:val="324C61" w:themeColor="text2"/>
      </w:rPr>
      <w:t xml:space="preserve"> </w:t>
    </w:r>
    <w:r w:rsidRPr="00046447">
      <w:rPr>
        <w:color w:val="324C61" w:themeColor="text2"/>
      </w:rPr>
      <w:t xml:space="preserve">Page </w:t>
    </w:r>
    <w:r w:rsidRPr="00046447">
      <w:rPr>
        <w:color w:val="324C61" w:themeColor="text2"/>
      </w:rPr>
      <w:fldChar w:fldCharType="begin"/>
    </w:r>
    <w:r w:rsidRPr="00046447">
      <w:rPr>
        <w:color w:val="324C61" w:themeColor="text2"/>
      </w:rPr>
      <w:instrText xml:space="preserve"> PAGE  \* Arabic  \* MERGEFORMAT </w:instrText>
    </w:r>
    <w:r w:rsidRPr="00046447">
      <w:rPr>
        <w:color w:val="324C61" w:themeColor="text2"/>
      </w:rPr>
      <w:fldChar w:fldCharType="separate"/>
    </w:r>
    <w:r w:rsidRPr="00046447">
      <w:rPr>
        <w:color w:val="324C61" w:themeColor="text2"/>
      </w:rPr>
      <w:t>2</w:t>
    </w:r>
    <w:r w:rsidRPr="00046447">
      <w:rPr>
        <w:color w:val="324C61" w:themeColor="text2"/>
      </w:rPr>
      <w:fldChar w:fldCharType="end"/>
    </w:r>
    <w:r w:rsidRPr="00046447">
      <w:rPr>
        <w:color w:val="324C61" w:themeColor="text2"/>
      </w:rPr>
      <w:t xml:space="preserve"> of </w:t>
    </w:r>
    <w:r w:rsidRPr="00046447">
      <w:rPr>
        <w:color w:val="324C61" w:themeColor="text2"/>
      </w:rPr>
      <w:fldChar w:fldCharType="begin"/>
    </w:r>
    <w:r w:rsidRPr="00046447">
      <w:rPr>
        <w:color w:val="324C61" w:themeColor="text2"/>
      </w:rPr>
      <w:instrText xml:space="preserve"> NUMPAGES  \* Arabic  \* MERGEFORMAT </w:instrText>
    </w:r>
    <w:r w:rsidRPr="00046447">
      <w:rPr>
        <w:color w:val="324C61" w:themeColor="text2"/>
      </w:rPr>
      <w:fldChar w:fldCharType="separate"/>
    </w:r>
    <w:r w:rsidRPr="00046447">
      <w:rPr>
        <w:color w:val="324C61" w:themeColor="text2"/>
      </w:rPr>
      <w:t>2</w:t>
    </w:r>
    <w:r w:rsidRPr="00046447">
      <w:rPr>
        <w:color w:val="324C61" w:themeColor="text2"/>
      </w:rPr>
      <w:fldChar w:fldCharType="end"/>
    </w:r>
  </w:p>
  <w:p w14:paraId="5794547F" w14:textId="230E0BBA" w:rsidR="00F27BC1" w:rsidRPr="00046447" w:rsidRDefault="00F27BC1" w:rsidP="00D9383C">
    <w:pPr>
      <w:rPr>
        <w:rFonts w:ascii="Karla" w:hAnsi="Karla"/>
        <w:b/>
        <w:bCs/>
        <w:color w:val="324C61"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B7EB" w14:textId="77777777" w:rsidR="0001059C" w:rsidRPr="00046447" w:rsidRDefault="0001059C" w:rsidP="006A0EB4">
      <w:pPr>
        <w:spacing w:after="0" w:line="240" w:lineRule="auto"/>
      </w:pPr>
      <w:r w:rsidRPr="00046447">
        <w:separator/>
      </w:r>
    </w:p>
  </w:footnote>
  <w:footnote w:type="continuationSeparator" w:id="0">
    <w:p w14:paraId="223A038A" w14:textId="77777777" w:rsidR="0001059C" w:rsidRPr="00046447" w:rsidRDefault="0001059C" w:rsidP="006A0EB4">
      <w:pPr>
        <w:spacing w:after="0" w:line="240" w:lineRule="auto"/>
      </w:pPr>
      <w:r w:rsidRPr="00046447">
        <w:continuationSeparator/>
      </w:r>
    </w:p>
  </w:footnote>
  <w:footnote w:type="continuationNotice" w:id="1">
    <w:p w14:paraId="5B25ED93" w14:textId="77777777" w:rsidR="0001059C" w:rsidRPr="00046447" w:rsidRDefault="000105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B851" w14:textId="5E2B11B8" w:rsidR="008F6E08" w:rsidRPr="009C6B17" w:rsidRDefault="00C35240" w:rsidP="009C6B17">
    <w:pPr>
      <w:pStyle w:val="Heading1"/>
      <w:tabs>
        <w:tab w:val="left" w:pos="7200"/>
        <w:tab w:val="left" w:pos="7560"/>
        <w:tab w:val="left" w:pos="10440"/>
      </w:tabs>
      <w:ind w:left="2520" w:right="180"/>
      <w:jc w:val="right"/>
      <w:rPr>
        <w:noProof/>
        <w:color w:val="324C61" w:themeColor="text2"/>
        <w:sz w:val="28"/>
        <w:szCs w:val="28"/>
      </w:rPr>
    </w:pPr>
    <w:r w:rsidRPr="00C35240">
      <w:t xml:space="preserve">Redefining Care for Ovarian Cancer </w:t>
    </w:r>
    <w:proofErr w:type="spellStart"/>
    <w:r w:rsidRPr="00C35240">
      <w:t>Patients_Dr</w:t>
    </w:r>
    <w:proofErr w:type="spellEnd"/>
    <w:r w:rsidRPr="00C35240">
      <w:t xml:space="preserve"> Monk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C7C"/>
    <w:multiLevelType w:val="hybridMultilevel"/>
    <w:tmpl w:val="3FFE5F6A"/>
    <w:lvl w:ilvl="0" w:tplc="FB162494">
      <w:start w:val="1"/>
      <w:numFmt w:val="decimal"/>
      <w:lvlText w:val="%1."/>
      <w:lvlJc w:val="left"/>
      <w:pPr>
        <w:ind w:left="-120" w:hanging="360"/>
      </w:pPr>
      <w:rPr>
        <w:rFonts w:hint="default"/>
        <w:i w:val="0"/>
        <w:iCs/>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1" w15:restartNumberingAfterBreak="0">
    <w:nsid w:val="084F621E"/>
    <w:multiLevelType w:val="hybridMultilevel"/>
    <w:tmpl w:val="B17A0E9A"/>
    <w:lvl w:ilvl="0" w:tplc="7744EF08">
      <w:start w:val="1"/>
      <w:numFmt w:val="decimal"/>
      <w:lvlText w:val="%1."/>
      <w:lvlJc w:val="left"/>
      <w:pPr>
        <w:ind w:left="1160" w:hanging="360"/>
      </w:pPr>
    </w:lvl>
    <w:lvl w:ilvl="1" w:tplc="B62C3134">
      <w:start w:val="1"/>
      <w:numFmt w:val="decimal"/>
      <w:lvlText w:val="%2."/>
      <w:lvlJc w:val="left"/>
      <w:pPr>
        <w:ind w:left="1160" w:hanging="360"/>
      </w:pPr>
    </w:lvl>
    <w:lvl w:ilvl="2" w:tplc="0AF81DDC">
      <w:start w:val="1"/>
      <w:numFmt w:val="decimal"/>
      <w:lvlText w:val="%3."/>
      <w:lvlJc w:val="left"/>
      <w:pPr>
        <w:ind w:left="1160" w:hanging="360"/>
      </w:pPr>
    </w:lvl>
    <w:lvl w:ilvl="3" w:tplc="C80E5590">
      <w:start w:val="1"/>
      <w:numFmt w:val="decimal"/>
      <w:lvlText w:val="%4."/>
      <w:lvlJc w:val="left"/>
      <w:pPr>
        <w:ind w:left="1160" w:hanging="360"/>
      </w:pPr>
    </w:lvl>
    <w:lvl w:ilvl="4" w:tplc="07165BE4">
      <w:start w:val="1"/>
      <w:numFmt w:val="decimal"/>
      <w:lvlText w:val="%5."/>
      <w:lvlJc w:val="left"/>
      <w:pPr>
        <w:ind w:left="1160" w:hanging="360"/>
      </w:pPr>
    </w:lvl>
    <w:lvl w:ilvl="5" w:tplc="C7164132">
      <w:start w:val="1"/>
      <w:numFmt w:val="decimal"/>
      <w:lvlText w:val="%6."/>
      <w:lvlJc w:val="left"/>
      <w:pPr>
        <w:ind w:left="1160" w:hanging="360"/>
      </w:pPr>
    </w:lvl>
    <w:lvl w:ilvl="6" w:tplc="84D6AA06">
      <w:start w:val="1"/>
      <w:numFmt w:val="decimal"/>
      <w:lvlText w:val="%7."/>
      <w:lvlJc w:val="left"/>
      <w:pPr>
        <w:ind w:left="1160" w:hanging="360"/>
      </w:pPr>
    </w:lvl>
    <w:lvl w:ilvl="7" w:tplc="4E9AF648">
      <w:start w:val="1"/>
      <w:numFmt w:val="decimal"/>
      <w:lvlText w:val="%8."/>
      <w:lvlJc w:val="left"/>
      <w:pPr>
        <w:ind w:left="1160" w:hanging="360"/>
      </w:pPr>
    </w:lvl>
    <w:lvl w:ilvl="8" w:tplc="CAACB5DC">
      <w:start w:val="1"/>
      <w:numFmt w:val="decimal"/>
      <w:lvlText w:val="%9."/>
      <w:lvlJc w:val="left"/>
      <w:pPr>
        <w:ind w:left="1160" w:hanging="360"/>
      </w:pPr>
    </w:lvl>
  </w:abstractNum>
  <w:abstractNum w:abstractNumId="2" w15:restartNumberingAfterBreak="0">
    <w:nsid w:val="09A77D79"/>
    <w:multiLevelType w:val="hybridMultilevel"/>
    <w:tmpl w:val="A2B45EDA"/>
    <w:lvl w:ilvl="0" w:tplc="FFFFFFFF">
      <w:start w:val="1"/>
      <w:numFmt w:val="decimal"/>
      <w:lvlText w:val="%1."/>
      <w:lvlJc w:val="left"/>
      <w:pPr>
        <w:ind w:left="540" w:hanging="360"/>
      </w:pPr>
      <w:rPr>
        <w:rFonts w:hint="default"/>
        <w:i w:val="0"/>
        <w:iCs/>
      </w:r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3" w15:restartNumberingAfterBreak="0">
    <w:nsid w:val="0D9D7A4B"/>
    <w:multiLevelType w:val="hybridMultilevel"/>
    <w:tmpl w:val="EB608280"/>
    <w:lvl w:ilvl="0" w:tplc="5008B0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1692501"/>
    <w:multiLevelType w:val="hybridMultilevel"/>
    <w:tmpl w:val="AC606ACA"/>
    <w:lvl w:ilvl="0" w:tplc="684A7EAA">
      <w:start w:val="1"/>
      <w:numFmt w:val="decimal"/>
      <w:lvlText w:val="%1."/>
      <w:lvlJc w:val="left"/>
      <w:pPr>
        <w:tabs>
          <w:tab w:val="num" w:pos="720"/>
        </w:tabs>
        <w:ind w:left="720" w:hanging="360"/>
      </w:pPr>
    </w:lvl>
    <w:lvl w:ilvl="1" w:tplc="D7F09E0A" w:tentative="1">
      <w:start w:val="1"/>
      <w:numFmt w:val="decimal"/>
      <w:lvlText w:val="%2."/>
      <w:lvlJc w:val="left"/>
      <w:pPr>
        <w:tabs>
          <w:tab w:val="num" w:pos="1440"/>
        </w:tabs>
        <w:ind w:left="1440" w:hanging="360"/>
      </w:pPr>
    </w:lvl>
    <w:lvl w:ilvl="2" w:tplc="882EB498" w:tentative="1">
      <w:start w:val="1"/>
      <w:numFmt w:val="decimal"/>
      <w:lvlText w:val="%3."/>
      <w:lvlJc w:val="left"/>
      <w:pPr>
        <w:tabs>
          <w:tab w:val="num" w:pos="2160"/>
        </w:tabs>
        <w:ind w:left="2160" w:hanging="360"/>
      </w:pPr>
    </w:lvl>
    <w:lvl w:ilvl="3" w:tplc="D0B41ACA" w:tentative="1">
      <w:start w:val="1"/>
      <w:numFmt w:val="decimal"/>
      <w:lvlText w:val="%4."/>
      <w:lvlJc w:val="left"/>
      <w:pPr>
        <w:tabs>
          <w:tab w:val="num" w:pos="2880"/>
        </w:tabs>
        <w:ind w:left="2880" w:hanging="360"/>
      </w:pPr>
    </w:lvl>
    <w:lvl w:ilvl="4" w:tplc="0406DCF4" w:tentative="1">
      <w:start w:val="1"/>
      <w:numFmt w:val="decimal"/>
      <w:lvlText w:val="%5."/>
      <w:lvlJc w:val="left"/>
      <w:pPr>
        <w:tabs>
          <w:tab w:val="num" w:pos="3600"/>
        </w:tabs>
        <w:ind w:left="3600" w:hanging="360"/>
      </w:pPr>
    </w:lvl>
    <w:lvl w:ilvl="5" w:tplc="1D7EE752" w:tentative="1">
      <w:start w:val="1"/>
      <w:numFmt w:val="decimal"/>
      <w:lvlText w:val="%6."/>
      <w:lvlJc w:val="left"/>
      <w:pPr>
        <w:tabs>
          <w:tab w:val="num" w:pos="4320"/>
        </w:tabs>
        <w:ind w:left="4320" w:hanging="360"/>
      </w:pPr>
    </w:lvl>
    <w:lvl w:ilvl="6" w:tplc="FA308D1E" w:tentative="1">
      <w:start w:val="1"/>
      <w:numFmt w:val="decimal"/>
      <w:lvlText w:val="%7."/>
      <w:lvlJc w:val="left"/>
      <w:pPr>
        <w:tabs>
          <w:tab w:val="num" w:pos="5040"/>
        </w:tabs>
        <w:ind w:left="5040" w:hanging="360"/>
      </w:pPr>
    </w:lvl>
    <w:lvl w:ilvl="7" w:tplc="4664C12C" w:tentative="1">
      <w:start w:val="1"/>
      <w:numFmt w:val="decimal"/>
      <w:lvlText w:val="%8."/>
      <w:lvlJc w:val="left"/>
      <w:pPr>
        <w:tabs>
          <w:tab w:val="num" w:pos="5760"/>
        </w:tabs>
        <w:ind w:left="5760" w:hanging="360"/>
      </w:pPr>
    </w:lvl>
    <w:lvl w:ilvl="8" w:tplc="3522D676" w:tentative="1">
      <w:start w:val="1"/>
      <w:numFmt w:val="decimal"/>
      <w:lvlText w:val="%9."/>
      <w:lvlJc w:val="left"/>
      <w:pPr>
        <w:tabs>
          <w:tab w:val="num" w:pos="6480"/>
        </w:tabs>
        <w:ind w:left="6480" w:hanging="360"/>
      </w:pPr>
    </w:lvl>
  </w:abstractNum>
  <w:abstractNum w:abstractNumId="5" w15:restartNumberingAfterBreak="0">
    <w:nsid w:val="166304AE"/>
    <w:multiLevelType w:val="hybridMultilevel"/>
    <w:tmpl w:val="ADCE2C78"/>
    <w:lvl w:ilvl="0" w:tplc="59FC91C6">
      <w:start w:val="1"/>
      <w:numFmt w:val="decimal"/>
      <w:lvlText w:val="%1."/>
      <w:lvlJc w:val="left"/>
      <w:pPr>
        <w:ind w:left="720" w:hanging="360"/>
      </w:pPr>
      <w:rPr>
        <w:rFont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3C7B6A"/>
    <w:multiLevelType w:val="multilevel"/>
    <w:tmpl w:val="CD1C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74086"/>
    <w:multiLevelType w:val="hybridMultilevel"/>
    <w:tmpl w:val="17A8F42A"/>
    <w:lvl w:ilvl="0" w:tplc="76E8321E">
      <w:start w:val="1"/>
      <w:numFmt w:val="decimal"/>
      <w:lvlText w:val="%1."/>
      <w:lvlJc w:val="left"/>
      <w:pPr>
        <w:ind w:left="1160" w:hanging="360"/>
      </w:pPr>
    </w:lvl>
    <w:lvl w:ilvl="1" w:tplc="37A2B824">
      <w:start w:val="1"/>
      <w:numFmt w:val="decimal"/>
      <w:lvlText w:val="%2."/>
      <w:lvlJc w:val="left"/>
      <w:pPr>
        <w:ind w:left="1160" w:hanging="360"/>
      </w:pPr>
    </w:lvl>
    <w:lvl w:ilvl="2" w:tplc="DCD0AA6A">
      <w:start w:val="1"/>
      <w:numFmt w:val="decimal"/>
      <w:lvlText w:val="%3."/>
      <w:lvlJc w:val="left"/>
      <w:pPr>
        <w:ind w:left="1160" w:hanging="360"/>
      </w:pPr>
    </w:lvl>
    <w:lvl w:ilvl="3" w:tplc="11BE1DD4">
      <w:start w:val="1"/>
      <w:numFmt w:val="decimal"/>
      <w:lvlText w:val="%4."/>
      <w:lvlJc w:val="left"/>
      <w:pPr>
        <w:ind w:left="1160" w:hanging="360"/>
      </w:pPr>
    </w:lvl>
    <w:lvl w:ilvl="4" w:tplc="C0669FE6">
      <w:start w:val="1"/>
      <w:numFmt w:val="decimal"/>
      <w:lvlText w:val="%5."/>
      <w:lvlJc w:val="left"/>
      <w:pPr>
        <w:ind w:left="1160" w:hanging="360"/>
      </w:pPr>
    </w:lvl>
    <w:lvl w:ilvl="5" w:tplc="DC902E1E">
      <w:start w:val="1"/>
      <w:numFmt w:val="decimal"/>
      <w:lvlText w:val="%6."/>
      <w:lvlJc w:val="left"/>
      <w:pPr>
        <w:ind w:left="1160" w:hanging="360"/>
      </w:pPr>
    </w:lvl>
    <w:lvl w:ilvl="6" w:tplc="B59E0CCE">
      <w:start w:val="1"/>
      <w:numFmt w:val="decimal"/>
      <w:lvlText w:val="%7."/>
      <w:lvlJc w:val="left"/>
      <w:pPr>
        <w:ind w:left="1160" w:hanging="360"/>
      </w:pPr>
    </w:lvl>
    <w:lvl w:ilvl="7" w:tplc="86D05B04">
      <w:start w:val="1"/>
      <w:numFmt w:val="decimal"/>
      <w:lvlText w:val="%8."/>
      <w:lvlJc w:val="left"/>
      <w:pPr>
        <w:ind w:left="1160" w:hanging="360"/>
      </w:pPr>
    </w:lvl>
    <w:lvl w:ilvl="8" w:tplc="2222BB14">
      <w:start w:val="1"/>
      <w:numFmt w:val="decimal"/>
      <w:lvlText w:val="%9."/>
      <w:lvlJc w:val="left"/>
      <w:pPr>
        <w:ind w:left="1160" w:hanging="360"/>
      </w:pPr>
    </w:lvl>
  </w:abstractNum>
  <w:abstractNum w:abstractNumId="8" w15:restartNumberingAfterBreak="0">
    <w:nsid w:val="1B3453D6"/>
    <w:multiLevelType w:val="hybridMultilevel"/>
    <w:tmpl w:val="2E6A284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953773"/>
    <w:multiLevelType w:val="hybridMultilevel"/>
    <w:tmpl w:val="480E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55E8F"/>
    <w:multiLevelType w:val="hybridMultilevel"/>
    <w:tmpl w:val="EC9E0364"/>
    <w:lvl w:ilvl="0" w:tplc="44305BD8">
      <w:numFmt w:val="decimal"/>
      <w:lvlText w:val="%1."/>
      <w:lvlJc w:val="left"/>
      <w:pPr>
        <w:ind w:left="450" w:hanging="360"/>
      </w:pPr>
      <w:rPr>
        <w:rFonts w:asciiTheme="majorHAnsi" w:hAnsiTheme="majorHAnsi" w:hint="default"/>
        <w:color w:val="FFFFFF" w:themeColor="accent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CDF2DB6"/>
    <w:multiLevelType w:val="hybridMultilevel"/>
    <w:tmpl w:val="A2B45EDA"/>
    <w:lvl w:ilvl="0" w:tplc="FFFFFFFF">
      <w:start w:val="1"/>
      <w:numFmt w:val="decimal"/>
      <w:lvlText w:val="%1."/>
      <w:lvlJc w:val="left"/>
      <w:pPr>
        <w:ind w:left="540" w:hanging="360"/>
      </w:pPr>
      <w:rPr>
        <w:rFonts w:hint="default"/>
        <w:i w:val="0"/>
        <w:iCs/>
      </w:r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12" w15:restartNumberingAfterBreak="0">
    <w:nsid w:val="351D5F6F"/>
    <w:multiLevelType w:val="hybridMultilevel"/>
    <w:tmpl w:val="BEB0F4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6253C98"/>
    <w:multiLevelType w:val="hybridMultilevel"/>
    <w:tmpl w:val="6B0C28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E6BD7"/>
    <w:multiLevelType w:val="hybridMultilevel"/>
    <w:tmpl w:val="B32AEF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7CB4202"/>
    <w:multiLevelType w:val="hybridMultilevel"/>
    <w:tmpl w:val="D7765C9E"/>
    <w:lvl w:ilvl="0" w:tplc="347AA1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DC35D77"/>
    <w:multiLevelType w:val="hybridMultilevel"/>
    <w:tmpl w:val="F55AFFE6"/>
    <w:lvl w:ilvl="0" w:tplc="BB2860C6">
      <w:start w:val="1"/>
      <w:numFmt w:val="bullet"/>
      <w:lvlText w:val="•"/>
      <w:lvlJc w:val="left"/>
      <w:pPr>
        <w:tabs>
          <w:tab w:val="num" w:pos="720"/>
        </w:tabs>
        <w:ind w:left="720" w:hanging="360"/>
      </w:pPr>
      <w:rPr>
        <w:rFonts w:ascii="Arial" w:hAnsi="Arial" w:hint="default"/>
      </w:rPr>
    </w:lvl>
    <w:lvl w:ilvl="1" w:tplc="E60C100E" w:tentative="1">
      <w:start w:val="1"/>
      <w:numFmt w:val="bullet"/>
      <w:lvlText w:val="•"/>
      <w:lvlJc w:val="left"/>
      <w:pPr>
        <w:tabs>
          <w:tab w:val="num" w:pos="1440"/>
        </w:tabs>
        <w:ind w:left="1440" w:hanging="360"/>
      </w:pPr>
      <w:rPr>
        <w:rFonts w:ascii="Arial" w:hAnsi="Arial" w:hint="default"/>
      </w:rPr>
    </w:lvl>
    <w:lvl w:ilvl="2" w:tplc="6E229B44" w:tentative="1">
      <w:start w:val="1"/>
      <w:numFmt w:val="bullet"/>
      <w:lvlText w:val="•"/>
      <w:lvlJc w:val="left"/>
      <w:pPr>
        <w:tabs>
          <w:tab w:val="num" w:pos="2160"/>
        </w:tabs>
        <w:ind w:left="2160" w:hanging="360"/>
      </w:pPr>
      <w:rPr>
        <w:rFonts w:ascii="Arial" w:hAnsi="Arial" w:hint="default"/>
      </w:rPr>
    </w:lvl>
    <w:lvl w:ilvl="3" w:tplc="13F4DC88" w:tentative="1">
      <w:start w:val="1"/>
      <w:numFmt w:val="bullet"/>
      <w:lvlText w:val="•"/>
      <w:lvlJc w:val="left"/>
      <w:pPr>
        <w:tabs>
          <w:tab w:val="num" w:pos="2880"/>
        </w:tabs>
        <w:ind w:left="2880" w:hanging="360"/>
      </w:pPr>
      <w:rPr>
        <w:rFonts w:ascii="Arial" w:hAnsi="Arial" w:hint="default"/>
      </w:rPr>
    </w:lvl>
    <w:lvl w:ilvl="4" w:tplc="D72E7886" w:tentative="1">
      <w:start w:val="1"/>
      <w:numFmt w:val="bullet"/>
      <w:lvlText w:val="•"/>
      <w:lvlJc w:val="left"/>
      <w:pPr>
        <w:tabs>
          <w:tab w:val="num" w:pos="3600"/>
        </w:tabs>
        <w:ind w:left="3600" w:hanging="360"/>
      </w:pPr>
      <w:rPr>
        <w:rFonts w:ascii="Arial" w:hAnsi="Arial" w:hint="default"/>
      </w:rPr>
    </w:lvl>
    <w:lvl w:ilvl="5" w:tplc="2BDCEF2C" w:tentative="1">
      <w:start w:val="1"/>
      <w:numFmt w:val="bullet"/>
      <w:lvlText w:val="•"/>
      <w:lvlJc w:val="left"/>
      <w:pPr>
        <w:tabs>
          <w:tab w:val="num" w:pos="4320"/>
        </w:tabs>
        <w:ind w:left="4320" w:hanging="360"/>
      </w:pPr>
      <w:rPr>
        <w:rFonts w:ascii="Arial" w:hAnsi="Arial" w:hint="default"/>
      </w:rPr>
    </w:lvl>
    <w:lvl w:ilvl="6" w:tplc="F81CDCAE" w:tentative="1">
      <w:start w:val="1"/>
      <w:numFmt w:val="bullet"/>
      <w:lvlText w:val="•"/>
      <w:lvlJc w:val="left"/>
      <w:pPr>
        <w:tabs>
          <w:tab w:val="num" w:pos="5040"/>
        </w:tabs>
        <w:ind w:left="5040" w:hanging="360"/>
      </w:pPr>
      <w:rPr>
        <w:rFonts w:ascii="Arial" w:hAnsi="Arial" w:hint="default"/>
      </w:rPr>
    </w:lvl>
    <w:lvl w:ilvl="7" w:tplc="B59EFD0A" w:tentative="1">
      <w:start w:val="1"/>
      <w:numFmt w:val="bullet"/>
      <w:lvlText w:val="•"/>
      <w:lvlJc w:val="left"/>
      <w:pPr>
        <w:tabs>
          <w:tab w:val="num" w:pos="5760"/>
        </w:tabs>
        <w:ind w:left="5760" w:hanging="360"/>
      </w:pPr>
      <w:rPr>
        <w:rFonts w:ascii="Arial" w:hAnsi="Arial" w:hint="default"/>
      </w:rPr>
    </w:lvl>
    <w:lvl w:ilvl="8" w:tplc="1980AB2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930894"/>
    <w:multiLevelType w:val="hybridMultilevel"/>
    <w:tmpl w:val="A2B45EDA"/>
    <w:lvl w:ilvl="0" w:tplc="FB162494">
      <w:start w:val="1"/>
      <w:numFmt w:val="decimal"/>
      <w:lvlText w:val="%1."/>
      <w:lvlJc w:val="left"/>
      <w:pPr>
        <w:ind w:left="540" w:hanging="360"/>
      </w:pPr>
      <w:rPr>
        <w:rFonts w:hint="default"/>
        <w:i w:val="0"/>
        <w:iCs/>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8" w15:restartNumberingAfterBreak="0">
    <w:nsid w:val="66DD7A83"/>
    <w:multiLevelType w:val="hybridMultilevel"/>
    <w:tmpl w:val="A2B45EDA"/>
    <w:lvl w:ilvl="0" w:tplc="FFFFFFFF">
      <w:start w:val="1"/>
      <w:numFmt w:val="decimal"/>
      <w:lvlText w:val="%1."/>
      <w:lvlJc w:val="left"/>
      <w:pPr>
        <w:ind w:left="540" w:hanging="360"/>
      </w:pPr>
      <w:rPr>
        <w:rFonts w:hint="default"/>
        <w:i w:val="0"/>
        <w:iCs/>
      </w:r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19" w15:restartNumberingAfterBreak="0">
    <w:nsid w:val="6CC87C9C"/>
    <w:multiLevelType w:val="hybridMultilevel"/>
    <w:tmpl w:val="DB68DD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6D5CF6"/>
    <w:multiLevelType w:val="hybridMultilevel"/>
    <w:tmpl w:val="DE92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339617">
    <w:abstractNumId w:val="10"/>
  </w:num>
  <w:num w:numId="2" w16cid:durableId="779910743">
    <w:abstractNumId w:val="15"/>
  </w:num>
  <w:num w:numId="3" w16cid:durableId="210195989">
    <w:abstractNumId w:val="13"/>
  </w:num>
  <w:num w:numId="4" w16cid:durableId="1087927030">
    <w:abstractNumId w:val="3"/>
  </w:num>
  <w:num w:numId="5" w16cid:durableId="1177571649">
    <w:abstractNumId w:val="0"/>
  </w:num>
  <w:num w:numId="6" w16cid:durableId="1097679493">
    <w:abstractNumId w:val="9"/>
  </w:num>
  <w:num w:numId="7" w16cid:durableId="1311864999">
    <w:abstractNumId w:val="17"/>
  </w:num>
  <w:num w:numId="8" w16cid:durableId="1580407084">
    <w:abstractNumId w:val="11"/>
  </w:num>
  <w:num w:numId="9" w16cid:durableId="1142961463">
    <w:abstractNumId w:val="18"/>
  </w:num>
  <w:num w:numId="10" w16cid:durableId="1511990764">
    <w:abstractNumId w:val="2"/>
  </w:num>
  <w:num w:numId="11" w16cid:durableId="842009249">
    <w:abstractNumId w:val="7"/>
  </w:num>
  <w:num w:numId="12" w16cid:durableId="590043381">
    <w:abstractNumId w:val="1"/>
  </w:num>
  <w:num w:numId="13" w16cid:durableId="961576409">
    <w:abstractNumId w:val="6"/>
  </w:num>
  <w:num w:numId="14" w16cid:durableId="1915123748">
    <w:abstractNumId w:val="20"/>
  </w:num>
  <w:num w:numId="15" w16cid:durableId="403839886">
    <w:abstractNumId w:val="14"/>
  </w:num>
  <w:num w:numId="16" w16cid:durableId="2109154874">
    <w:abstractNumId w:val="12"/>
  </w:num>
  <w:num w:numId="17" w16cid:durableId="1415736702">
    <w:abstractNumId w:val="16"/>
  </w:num>
  <w:num w:numId="18" w16cid:durableId="366294150">
    <w:abstractNumId w:val="4"/>
  </w:num>
  <w:num w:numId="19" w16cid:durableId="1138451573">
    <w:abstractNumId w:val="5"/>
  </w:num>
  <w:num w:numId="20" w16cid:durableId="1901284713">
    <w:abstractNumId w:val="8"/>
  </w:num>
  <w:num w:numId="21" w16cid:durableId="9579541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xNTQ0tTCzMTA0NLYyUdpeDU4uLM/DyQAkOjWgDRwuC5LQAAAA=="/>
  </w:docVars>
  <w:rsids>
    <w:rsidRoot w:val="006A0EB4"/>
    <w:rsid w:val="00003EC3"/>
    <w:rsid w:val="00003F10"/>
    <w:rsid w:val="000042FC"/>
    <w:rsid w:val="00004543"/>
    <w:rsid w:val="00004618"/>
    <w:rsid w:val="0000513C"/>
    <w:rsid w:val="00006435"/>
    <w:rsid w:val="00006C8C"/>
    <w:rsid w:val="00006D47"/>
    <w:rsid w:val="00006DEC"/>
    <w:rsid w:val="00007B4D"/>
    <w:rsid w:val="0001059C"/>
    <w:rsid w:val="0001080B"/>
    <w:rsid w:val="00010C28"/>
    <w:rsid w:val="00011187"/>
    <w:rsid w:val="0001150F"/>
    <w:rsid w:val="00011605"/>
    <w:rsid w:val="000120A5"/>
    <w:rsid w:val="00012D6A"/>
    <w:rsid w:val="00014EDF"/>
    <w:rsid w:val="00015057"/>
    <w:rsid w:val="00016D89"/>
    <w:rsid w:val="00017058"/>
    <w:rsid w:val="000178E5"/>
    <w:rsid w:val="00017E30"/>
    <w:rsid w:val="00020954"/>
    <w:rsid w:val="00024C2E"/>
    <w:rsid w:val="00025EFE"/>
    <w:rsid w:val="00030393"/>
    <w:rsid w:val="000312FE"/>
    <w:rsid w:val="0003132F"/>
    <w:rsid w:val="0003193F"/>
    <w:rsid w:val="00031DD9"/>
    <w:rsid w:val="000333C6"/>
    <w:rsid w:val="00034BF4"/>
    <w:rsid w:val="00034C25"/>
    <w:rsid w:val="00035945"/>
    <w:rsid w:val="00041895"/>
    <w:rsid w:val="000420FD"/>
    <w:rsid w:val="00043371"/>
    <w:rsid w:val="00044427"/>
    <w:rsid w:val="00045E8D"/>
    <w:rsid w:val="00046447"/>
    <w:rsid w:val="00046D48"/>
    <w:rsid w:val="00050C75"/>
    <w:rsid w:val="000512AD"/>
    <w:rsid w:val="00053F4C"/>
    <w:rsid w:val="00055D0A"/>
    <w:rsid w:val="000565CD"/>
    <w:rsid w:val="0006086F"/>
    <w:rsid w:val="00060F67"/>
    <w:rsid w:val="00062ED9"/>
    <w:rsid w:val="00063AD1"/>
    <w:rsid w:val="000662A5"/>
    <w:rsid w:val="00066755"/>
    <w:rsid w:val="00066A77"/>
    <w:rsid w:val="00067A99"/>
    <w:rsid w:val="00070649"/>
    <w:rsid w:val="00070F3D"/>
    <w:rsid w:val="0007104C"/>
    <w:rsid w:val="0007179C"/>
    <w:rsid w:val="0007215A"/>
    <w:rsid w:val="00075E9E"/>
    <w:rsid w:val="0007602D"/>
    <w:rsid w:val="000762C6"/>
    <w:rsid w:val="00076526"/>
    <w:rsid w:val="00077D5D"/>
    <w:rsid w:val="00080033"/>
    <w:rsid w:val="00080F5E"/>
    <w:rsid w:val="00081257"/>
    <w:rsid w:val="00081AB1"/>
    <w:rsid w:val="000823D6"/>
    <w:rsid w:val="0008269E"/>
    <w:rsid w:val="000853B2"/>
    <w:rsid w:val="00085DCF"/>
    <w:rsid w:val="0009012A"/>
    <w:rsid w:val="00090AD6"/>
    <w:rsid w:val="000912A7"/>
    <w:rsid w:val="00091D20"/>
    <w:rsid w:val="000924B1"/>
    <w:rsid w:val="000934D6"/>
    <w:rsid w:val="00094A78"/>
    <w:rsid w:val="00096CF6"/>
    <w:rsid w:val="00097836"/>
    <w:rsid w:val="000978F8"/>
    <w:rsid w:val="000A0509"/>
    <w:rsid w:val="000A2858"/>
    <w:rsid w:val="000A400C"/>
    <w:rsid w:val="000A42BD"/>
    <w:rsid w:val="000A47B4"/>
    <w:rsid w:val="000A5062"/>
    <w:rsid w:val="000A694F"/>
    <w:rsid w:val="000A6A93"/>
    <w:rsid w:val="000A6B86"/>
    <w:rsid w:val="000A7690"/>
    <w:rsid w:val="000B0216"/>
    <w:rsid w:val="000B07A7"/>
    <w:rsid w:val="000B2913"/>
    <w:rsid w:val="000B4B46"/>
    <w:rsid w:val="000B582A"/>
    <w:rsid w:val="000B68C8"/>
    <w:rsid w:val="000B701D"/>
    <w:rsid w:val="000C0218"/>
    <w:rsid w:val="000C23C6"/>
    <w:rsid w:val="000C2D2C"/>
    <w:rsid w:val="000C58A1"/>
    <w:rsid w:val="000C66EC"/>
    <w:rsid w:val="000C6B16"/>
    <w:rsid w:val="000C7164"/>
    <w:rsid w:val="000C71B5"/>
    <w:rsid w:val="000D2043"/>
    <w:rsid w:val="000D34DA"/>
    <w:rsid w:val="000D3E1E"/>
    <w:rsid w:val="000D4366"/>
    <w:rsid w:val="000D4449"/>
    <w:rsid w:val="000D52A5"/>
    <w:rsid w:val="000D5539"/>
    <w:rsid w:val="000D5FA2"/>
    <w:rsid w:val="000D65FF"/>
    <w:rsid w:val="000D7F84"/>
    <w:rsid w:val="000E054A"/>
    <w:rsid w:val="000E0B8F"/>
    <w:rsid w:val="000E0F59"/>
    <w:rsid w:val="000E102F"/>
    <w:rsid w:val="000E1AA9"/>
    <w:rsid w:val="000E1AF3"/>
    <w:rsid w:val="000E2049"/>
    <w:rsid w:val="000E28BF"/>
    <w:rsid w:val="000E3013"/>
    <w:rsid w:val="000E3A3B"/>
    <w:rsid w:val="000E3DE8"/>
    <w:rsid w:val="000E3ED8"/>
    <w:rsid w:val="000E4625"/>
    <w:rsid w:val="000E4852"/>
    <w:rsid w:val="000E584B"/>
    <w:rsid w:val="000F295F"/>
    <w:rsid w:val="000F3567"/>
    <w:rsid w:val="000F566D"/>
    <w:rsid w:val="000F5B74"/>
    <w:rsid w:val="000F5F8B"/>
    <w:rsid w:val="000F67DB"/>
    <w:rsid w:val="000F6E9A"/>
    <w:rsid w:val="000F75C6"/>
    <w:rsid w:val="00100C57"/>
    <w:rsid w:val="00101D0A"/>
    <w:rsid w:val="001032C3"/>
    <w:rsid w:val="00103655"/>
    <w:rsid w:val="00104B63"/>
    <w:rsid w:val="001053FF"/>
    <w:rsid w:val="001068DB"/>
    <w:rsid w:val="00106975"/>
    <w:rsid w:val="00106E78"/>
    <w:rsid w:val="00107A23"/>
    <w:rsid w:val="0011000B"/>
    <w:rsid w:val="00110E3F"/>
    <w:rsid w:val="00111154"/>
    <w:rsid w:val="0011123A"/>
    <w:rsid w:val="00112420"/>
    <w:rsid w:val="00112A70"/>
    <w:rsid w:val="00114C78"/>
    <w:rsid w:val="00114E27"/>
    <w:rsid w:val="0011538F"/>
    <w:rsid w:val="0011566E"/>
    <w:rsid w:val="00115B57"/>
    <w:rsid w:val="001177DF"/>
    <w:rsid w:val="0012020B"/>
    <w:rsid w:val="00121C96"/>
    <w:rsid w:val="001221B5"/>
    <w:rsid w:val="001226B1"/>
    <w:rsid w:val="00123F20"/>
    <w:rsid w:val="00124BB5"/>
    <w:rsid w:val="00124EAC"/>
    <w:rsid w:val="0012569A"/>
    <w:rsid w:val="00126331"/>
    <w:rsid w:val="001303C2"/>
    <w:rsid w:val="0013110B"/>
    <w:rsid w:val="00131588"/>
    <w:rsid w:val="0013185A"/>
    <w:rsid w:val="00131CA1"/>
    <w:rsid w:val="00131E91"/>
    <w:rsid w:val="00132B67"/>
    <w:rsid w:val="00133108"/>
    <w:rsid w:val="001337F2"/>
    <w:rsid w:val="00133B55"/>
    <w:rsid w:val="00134124"/>
    <w:rsid w:val="001348B5"/>
    <w:rsid w:val="00134C93"/>
    <w:rsid w:val="00135A70"/>
    <w:rsid w:val="00136F12"/>
    <w:rsid w:val="001373F6"/>
    <w:rsid w:val="00137A9A"/>
    <w:rsid w:val="00137E15"/>
    <w:rsid w:val="001413A6"/>
    <w:rsid w:val="0014366E"/>
    <w:rsid w:val="0014507D"/>
    <w:rsid w:val="00145C95"/>
    <w:rsid w:val="001473EA"/>
    <w:rsid w:val="00151362"/>
    <w:rsid w:val="001540B3"/>
    <w:rsid w:val="00154627"/>
    <w:rsid w:val="00154A8C"/>
    <w:rsid w:val="00154F7E"/>
    <w:rsid w:val="001550CB"/>
    <w:rsid w:val="00157CEA"/>
    <w:rsid w:val="00157D32"/>
    <w:rsid w:val="00161B80"/>
    <w:rsid w:val="00161F9D"/>
    <w:rsid w:val="00162314"/>
    <w:rsid w:val="00162C7F"/>
    <w:rsid w:val="00167823"/>
    <w:rsid w:val="00170062"/>
    <w:rsid w:val="0017045E"/>
    <w:rsid w:val="00171AB4"/>
    <w:rsid w:val="00171BED"/>
    <w:rsid w:val="0017238A"/>
    <w:rsid w:val="00173C58"/>
    <w:rsid w:val="00173CD4"/>
    <w:rsid w:val="00174178"/>
    <w:rsid w:val="00174638"/>
    <w:rsid w:val="00174BA8"/>
    <w:rsid w:val="001755AC"/>
    <w:rsid w:val="00175691"/>
    <w:rsid w:val="00175D18"/>
    <w:rsid w:val="0017740E"/>
    <w:rsid w:val="00177523"/>
    <w:rsid w:val="001778C3"/>
    <w:rsid w:val="00177B02"/>
    <w:rsid w:val="00177C71"/>
    <w:rsid w:val="00180B66"/>
    <w:rsid w:val="00181CFD"/>
    <w:rsid w:val="001823F2"/>
    <w:rsid w:val="00182956"/>
    <w:rsid w:val="0018326D"/>
    <w:rsid w:val="0018358B"/>
    <w:rsid w:val="001837F3"/>
    <w:rsid w:val="001870E7"/>
    <w:rsid w:val="00191944"/>
    <w:rsid w:val="00192021"/>
    <w:rsid w:val="0019256C"/>
    <w:rsid w:val="00192F93"/>
    <w:rsid w:val="001937FF"/>
    <w:rsid w:val="001958BD"/>
    <w:rsid w:val="001965BF"/>
    <w:rsid w:val="001966C7"/>
    <w:rsid w:val="00196EB1"/>
    <w:rsid w:val="0019746A"/>
    <w:rsid w:val="001977BA"/>
    <w:rsid w:val="001A08BD"/>
    <w:rsid w:val="001A2BBB"/>
    <w:rsid w:val="001A4351"/>
    <w:rsid w:val="001A4624"/>
    <w:rsid w:val="001A5317"/>
    <w:rsid w:val="001A5350"/>
    <w:rsid w:val="001A5D75"/>
    <w:rsid w:val="001A619E"/>
    <w:rsid w:val="001A6C9E"/>
    <w:rsid w:val="001A6FFA"/>
    <w:rsid w:val="001A7D6B"/>
    <w:rsid w:val="001B0751"/>
    <w:rsid w:val="001B08E3"/>
    <w:rsid w:val="001B1528"/>
    <w:rsid w:val="001B4966"/>
    <w:rsid w:val="001B4C03"/>
    <w:rsid w:val="001B6942"/>
    <w:rsid w:val="001B6C1E"/>
    <w:rsid w:val="001B71E1"/>
    <w:rsid w:val="001C2217"/>
    <w:rsid w:val="001C39DC"/>
    <w:rsid w:val="001C3E21"/>
    <w:rsid w:val="001C5D67"/>
    <w:rsid w:val="001C6DDA"/>
    <w:rsid w:val="001C6DDE"/>
    <w:rsid w:val="001D15F3"/>
    <w:rsid w:val="001D2E4C"/>
    <w:rsid w:val="001D55F5"/>
    <w:rsid w:val="001D5FF4"/>
    <w:rsid w:val="001D647E"/>
    <w:rsid w:val="001D763A"/>
    <w:rsid w:val="001E2411"/>
    <w:rsid w:val="001E3364"/>
    <w:rsid w:val="001E3474"/>
    <w:rsid w:val="001E59F7"/>
    <w:rsid w:val="001E5F81"/>
    <w:rsid w:val="001E62DE"/>
    <w:rsid w:val="001E6577"/>
    <w:rsid w:val="001E7EB1"/>
    <w:rsid w:val="001F1212"/>
    <w:rsid w:val="001F192C"/>
    <w:rsid w:val="001F2D8D"/>
    <w:rsid w:val="001F2F8B"/>
    <w:rsid w:val="001F40B8"/>
    <w:rsid w:val="001F5BB3"/>
    <w:rsid w:val="001F5C52"/>
    <w:rsid w:val="001F70B8"/>
    <w:rsid w:val="001F76FD"/>
    <w:rsid w:val="001F7AE9"/>
    <w:rsid w:val="00200E09"/>
    <w:rsid w:val="00201072"/>
    <w:rsid w:val="00202511"/>
    <w:rsid w:val="00202B7D"/>
    <w:rsid w:val="00203EF0"/>
    <w:rsid w:val="00205130"/>
    <w:rsid w:val="00205268"/>
    <w:rsid w:val="0020646D"/>
    <w:rsid w:val="002068DE"/>
    <w:rsid w:val="00206C9F"/>
    <w:rsid w:val="002106EC"/>
    <w:rsid w:val="00210F62"/>
    <w:rsid w:val="00211B3D"/>
    <w:rsid w:val="00212007"/>
    <w:rsid w:val="00212204"/>
    <w:rsid w:val="00213E08"/>
    <w:rsid w:val="00213F3C"/>
    <w:rsid w:val="00213FBB"/>
    <w:rsid w:val="00214324"/>
    <w:rsid w:val="00214472"/>
    <w:rsid w:val="00214824"/>
    <w:rsid w:val="00214C65"/>
    <w:rsid w:val="00216E42"/>
    <w:rsid w:val="00220A46"/>
    <w:rsid w:val="00220FDB"/>
    <w:rsid w:val="002216CC"/>
    <w:rsid w:val="00222FDB"/>
    <w:rsid w:val="002230BC"/>
    <w:rsid w:val="00223B56"/>
    <w:rsid w:val="0022447B"/>
    <w:rsid w:val="00224607"/>
    <w:rsid w:val="00224700"/>
    <w:rsid w:val="00224980"/>
    <w:rsid w:val="00224C9F"/>
    <w:rsid w:val="00224DA7"/>
    <w:rsid w:val="00230BC0"/>
    <w:rsid w:val="002314BF"/>
    <w:rsid w:val="002325E5"/>
    <w:rsid w:val="0023299B"/>
    <w:rsid w:val="00232B4A"/>
    <w:rsid w:val="00233592"/>
    <w:rsid w:val="00234ADE"/>
    <w:rsid w:val="00234D3B"/>
    <w:rsid w:val="002353E2"/>
    <w:rsid w:val="00235FEE"/>
    <w:rsid w:val="002369FB"/>
    <w:rsid w:val="00237B3D"/>
    <w:rsid w:val="00240257"/>
    <w:rsid w:val="00242B74"/>
    <w:rsid w:val="00242D75"/>
    <w:rsid w:val="0024304D"/>
    <w:rsid w:val="002433C5"/>
    <w:rsid w:val="0024342F"/>
    <w:rsid w:val="00243A5C"/>
    <w:rsid w:val="00244BD4"/>
    <w:rsid w:val="002453BC"/>
    <w:rsid w:val="00245B65"/>
    <w:rsid w:val="00246D86"/>
    <w:rsid w:val="002476A8"/>
    <w:rsid w:val="00247E56"/>
    <w:rsid w:val="00251B33"/>
    <w:rsid w:val="002523C9"/>
    <w:rsid w:val="0025286E"/>
    <w:rsid w:val="0025313E"/>
    <w:rsid w:val="00253201"/>
    <w:rsid w:val="00253A78"/>
    <w:rsid w:val="00254540"/>
    <w:rsid w:val="00255693"/>
    <w:rsid w:val="0025570E"/>
    <w:rsid w:val="00261BA2"/>
    <w:rsid w:val="00262375"/>
    <w:rsid w:val="002623A5"/>
    <w:rsid w:val="0026338D"/>
    <w:rsid w:val="002635A6"/>
    <w:rsid w:val="00263DF8"/>
    <w:rsid w:val="002649B2"/>
    <w:rsid w:val="00265398"/>
    <w:rsid w:val="00267081"/>
    <w:rsid w:val="002703F1"/>
    <w:rsid w:val="00271700"/>
    <w:rsid w:val="002717D8"/>
    <w:rsid w:val="00272D82"/>
    <w:rsid w:val="0027469E"/>
    <w:rsid w:val="002750FD"/>
    <w:rsid w:val="00275145"/>
    <w:rsid w:val="0027578A"/>
    <w:rsid w:val="00276154"/>
    <w:rsid w:val="00276BD6"/>
    <w:rsid w:val="00277BFF"/>
    <w:rsid w:val="00277CAD"/>
    <w:rsid w:val="00280A78"/>
    <w:rsid w:val="00280CD0"/>
    <w:rsid w:val="0028400F"/>
    <w:rsid w:val="00284458"/>
    <w:rsid w:val="00286A25"/>
    <w:rsid w:val="00286DC9"/>
    <w:rsid w:val="00290A92"/>
    <w:rsid w:val="00291061"/>
    <w:rsid w:val="00292D49"/>
    <w:rsid w:val="0029357B"/>
    <w:rsid w:val="00294E91"/>
    <w:rsid w:val="00295972"/>
    <w:rsid w:val="002A1EC3"/>
    <w:rsid w:val="002A3EE6"/>
    <w:rsid w:val="002A4C68"/>
    <w:rsid w:val="002A53FD"/>
    <w:rsid w:val="002A5763"/>
    <w:rsid w:val="002A601B"/>
    <w:rsid w:val="002A6749"/>
    <w:rsid w:val="002A6B01"/>
    <w:rsid w:val="002A7BE1"/>
    <w:rsid w:val="002B01F9"/>
    <w:rsid w:val="002B05A0"/>
    <w:rsid w:val="002B26D1"/>
    <w:rsid w:val="002B296C"/>
    <w:rsid w:val="002B3103"/>
    <w:rsid w:val="002B3F82"/>
    <w:rsid w:val="002B459C"/>
    <w:rsid w:val="002B5123"/>
    <w:rsid w:val="002B55F1"/>
    <w:rsid w:val="002B5F27"/>
    <w:rsid w:val="002B6C47"/>
    <w:rsid w:val="002B77C4"/>
    <w:rsid w:val="002B79B6"/>
    <w:rsid w:val="002C0C13"/>
    <w:rsid w:val="002C2A11"/>
    <w:rsid w:val="002C2C0C"/>
    <w:rsid w:val="002C4BB3"/>
    <w:rsid w:val="002C6771"/>
    <w:rsid w:val="002C7DD6"/>
    <w:rsid w:val="002D1400"/>
    <w:rsid w:val="002D1606"/>
    <w:rsid w:val="002D1968"/>
    <w:rsid w:val="002D24AF"/>
    <w:rsid w:val="002D374B"/>
    <w:rsid w:val="002D4C56"/>
    <w:rsid w:val="002D6D65"/>
    <w:rsid w:val="002D7194"/>
    <w:rsid w:val="002D754C"/>
    <w:rsid w:val="002E0A4A"/>
    <w:rsid w:val="002E26C5"/>
    <w:rsid w:val="002E2BE7"/>
    <w:rsid w:val="002E320D"/>
    <w:rsid w:val="002E3C9A"/>
    <w:rsid w:val="002E42BC"/>
    <w:rsid w:val="002E6281"/>
    <w:rsid w:val="002E714F"/>
    <w:rsid w:val="002F0430"/>
    <w:rsid w:val="002F0478"/>
    <w:rsid w:val="002F15FB"/>
    <w:rsid w:val="002F1ED1"/>
    <w:rsid w:val="002F2A12"/>
    <w:rsid w:val="002F37C7"/>
    <w:rsid w:val="002F41D7"/>
    <w:rsid w:val="002F4533"/>
    <w:rsid w:val="002F47C1"/>
    <w:rsid w:val="002F60C2"/>
    <w:rsid w:val="002F7BD4"/>
    <w:rsid w:val="00300F9D"/>
    <w:rsid w:val="00301FB0"/>
    <w:rsid w:val="00302A45"/>
    <w:rsid w:val="00302C09"/>
    <w:rsid w:val="00303293"/>
    <w:rsid w:val="00303C26"/>
    <w:rsid w:val="0030472F"/>
    <w:rsid w:val="00305D6C"/>
    <w:rsid w:val="00307EC5"/>
    <w:rsid w:val="00310C48"/>
    <w:rsid w:val="003125F6"/>
    <w:rsid w:val="00312E15"/>
    <w:rsid w:val="0031513A"/>
    <w:rsid w:val="00317CDE"/>
    <w:rsid w:val="00317FE8"/>
    <w:rsid w:val="00320396"/>
    <w:rsid w:val="00320547"/>
    <w:rsid w:val="00320586"/>
    <w:rsid w:val="00321290"/>
    <w:rsid w:val="00321C15"/>
    <w:rsid w:val="00322DBF"/>
    <w:rsid w:val="0032303A"/>
    <w:rsid w:val="00325590"/>
    <w:rsid w:val="00325621"/>
    <w:rsid w:val="00326374"/>
    <w:rsid w:val="00326453"/>
    <w:rsid w:val="003270AA"/>
    <w:rsid w:val="00327372"/>
    <w:rsid w:val="00327976"/>
    <w:rsid w:val="00331A50"/>
    <w:rsid w:val="003326A7"/>
    <w:rsid w:val="00333673"/>
    <w:rsid w:val="0033435E"/>
    <w:rsid w:val="003358D6"/>
    <w:rsid w:val="00335C1B"/>
    <w:rsid w:val="00335C8D"/>
    <w:rsid w:val="00335C8F"/>
    <w:rsid w:val="00336B89"/>
    <w:rsid w:val="00336D75"/>
    <w:rsid w:val="00341928"/>
    <w:rsid w:val="00341C2F"/>
    <w:rsid w:val="00342041"/>
    <w:rsid w:val="003424D6"/>
    <w:rsid w:val="00343294"/>
    <w:rsid w:val="0034397E"/>
    <w:rsid w:val="00345AAB"/>
    <w:rsid w:val="00346375"/>
    <w:rsid w:val="00347970"/>
    <w:rsid w:val="00347B24"/>
    <w:rsid w:val="003508A4"/>
    <w:rsid w:val="00350A13"/>
    <w:rsid w:val="0035294B"/>
    <w:rsid w:val="00355086"/>
    <w:rsid w:val="003553A9"/>
    <w:rsid w:val="003553D2"/>
    <w:rsid w:val="0035604C"/>
    <w:rsid w:val="0036075D"/>
    <w:rsid w:val="00360DD7"/>
    <w:rsid w:val="0036542D"/>
    <w:rsid w:val="0036580C"/>
    <w:rsid w:val="003660FB"/>
    <w:rsid w:val="00367479"/>
    <w:rsid w:val="0037120E"/>
    <w:rsid w:val="003718CC"/>
    <w:rsid w:val="00372A08"/>
    <w:rsid w:val="00374549"/>
    <w:rsid w:val="00376767"/>
    <w:rsid w:val="00377C38"/>
    <w:rsid w:val="003803F0"/>
    <w:rsid w:val="00380EA4"/>
    <w:rsid w:val="003811BC"/>
    <w:rsid w:val="00381EF9"/>
    <w:rsid w:val="00383B2A"/>
    <w:rsid w:val="00384006"/>
    <w:rsid w:val="0038444E"/>
    <w:rsid w:val="003844CC"/>
    <w:rsid w:val="00385031"/>
    <w:rsid w:val="00385E75"/>
    <w:rsid w:val="003873E0"/>
    <w:rsid w:val="00387962"/>
    <w:rsid w:val="00391392"/>
    <w:rsid w:val="00393E15"/>
    <w:rsid w:val="00396202"/>
    <w:rsid w:val="00396CAF"/>
    <w:rsid w:val="00397C81"/>
    <w:rsid w:val="00397EBF"/>
    <w:rsid w:val="003A09EE"/>
    <w:rsid w:val="003A3273"/>
    <w:rsid w:val="003A38A9"/>
    <w:rsid w:val="003A4644"/>
    <w:rsid w:val="003A4A23"/>
    <w:rsid w:val="003A59A4"/>
    <w:rsid w:val="003B0236"/>
    <w:rsid w:val="003B0AB4"/>
    <w:rsid w:val="003B164E"/>
    <w:rsid w:val="003B1AF9"/>
    <w:rsid w:val="003B2761"/>
    <w:rsid w:val="003B29E4"/>
    <w:rsid w:val="003B2D60"/>
    <w:rsid w:val="003B2F69"/>
    <w:rsid w:val="003B31AA"/>
    <w:rsid w:val="003B398D"/>
    <w:rsid w:val="003B3EC1"/>
    <w:rsid w:val="003B5A73"/>
    <w:rsid w:val="003B67FE"/>
    <w:rsid w:val="003B683A"/>
    <w:rsid w:val="003B792A"/>
    <w:rsid w:val="003C13B6"/>
    <w:rsid w:val="003C2A8E"/>
    <w:rsid w:val="003C2F34"/>
    <w:rsid w:val="003C38F8"/>
    <w:rsid w:val="003C39B2"/>
    <w:rsid w:val="003C4B7A"/>
    <w:rsid w:val="003C616F"/>
    <w:rsid w:val="003C64D0"/>
    <w:rsid w:val="003C6569"/>
    <w:rsid w:val="003C6B0E"/>
    <w:rsid w:val="003C6F33"/>
    <w:rsid w:val="003D28E0"/>
    <w:rsid w:val="003D32C3"/>
    <w:rsid w:val="003D3CE7"/>
    <w:rsid w:val="003D3EEF"/>
    <w:rsid w:val="003D46CB"/>
    <w:rsid w:val="003D4809"/>
    <w:rsid w:val="003D63C3"/>
    <w:rsid w:val="003E0A91"/>
    <w:rsid w:val="003E0C99"/>
    <w:rsid w:val="003E3294"/>
    <w:rsid w:val="003E3A15"/>
    <w:rsid w:val="003E683E"/>
    <w:rsid w:val="003E774C"/>
    <w:rsid w:val="003E7F01"/>
    <w:rsid w:val="003F2637"/>
    <w:rsid w:val="003F26C2"/>
    <w:rsid w:val="003F4849"/>
    <w:rsid w:val="003F56F8"/>
    <w:rsid w:val="003F6060"/>
    <w:rsid w:val="003F60C8"/>
    <w:rsid w:val="003F70FF"/>
    <w:rsid w:val="00401578"/>
    <w:rsid w:val="0040194D"/>
    <w:rsid w:val="00402238"/>
    <w:rsid w:val="00402628"/>
    <w:rsid w:val="00402F5A"/>
    <w:rsid w:val="00403BFF"/>
    <w:rsid w:val="00405CB8"/>
    <w:rsid w:val="00405ECA"/>
    <w:rsid w:val="00406130"/>
    <w:rsid w:val="00406671"/>
    <w:rsid w:val="00406D67"/>
    <w:rsid w:val="00406EBE"/>
    <w:rsid w:val="00407293"/>
    <w:rsid w:val="00407337"/>
    <w:rsid w:val="004077C6"/>
    <w:rsid w:val="00407F72"/>
    <w:rsid w:val="004104F0"/>
    <w:rsid w:val="0041088F"/>
    <w:rsid w:val="00410D06"/>
    <w:rsid w:val="00410F75"/>
    <w:rsid w:val="00411BBD"/>
    <w:rsid w:val="00412AB9"/>
    <w:rsid w:val="00412E98"/>
    <w:rsid w:val="00413A94"/>
    <w:rsid w:val="004140D1"/>
    <w:rsid w:val="004149A8"/>
    <w:rsid w:val="004150C8"/>
    <w:rsid w:val="0042016F"/>
    <w:rsid w:val="00420A2E"/>
    <w:rsid w:val="00422DB4"/>
    <w:rsid w:val="00423DC3"/>
    <w:rsid w:val="00424A34"/>
    <w:rsid w:val="00425142"/>
    <w:rsid w:val="00426581"/>
    <w:rsid w:val="0042669D"/>
    <w:rsid w:val="0042739A"/>
    <w:rsid w:val="00430213"/>
    <w:rsid w:val="00430926"/>
    <w:rsid w:val="00430CE4"/>
    <w:rsid w:val="004311B3"/>
    <w:rsid w:val="00431A79"/>
    <w:rsid w:val="00431AB5"/>
    <w:rsid w:val="00431DE7"/>
    <w:rsid w:val="004326F0"/>
    <w:rsid w:val="00433A8B"/>
    <w:rsid w:val="00433F7F"/>
    <w:rsid w:val="00434567"/>
    <w:rsid w:val="00436620"/>
    <w:rsid w:val="00436898"/>
    <w:rsid w:val="00437E9A"/>
    <w:rsid w:val="00440563"/>
    <w:rsid w:val="004433BF"/>
    <w:rsid w:val="00443BD4"/>
    <w:rsid w:val="00444011"/>
    <w:rsid w:val="00447A17"/>
    <w:rsid w:val="004538CF"/>
    <w:rsid w:val="00457152"/>
    <w:rsid w:val="004574D0"/>
    <w:rsid w:val="00461A24"/>
    <w:rsid w:val="00465C4E"/>
    <w:rsid w:val="00465D57"/>
    <w:rsid w:val="00465EAB"/>
    <w:rsid w:val="00465FAB"/>
    <w:rsid w:val="00466811"/>
    <w:rsid w:val="00467851"/>
    <w:rsid w:val="00467D70"/>
    <w:rsid w:val="00467F05"/>
    <w:rsid w:val="00467F6B"/>
    <w:rsid w:val="00471C79"/>
    <w:rsid w:val="00472027"/>
    <w:rsid w:val="00472CD2"/>
    <w:rsid w:val="00474B1C"/>
    <w:rsid w:val="004760BB"/>
    <w:rsid w:val="004829E2"/>
    <w:rsid w:val="00484AE4"/>
    <w:rsid w:val="004856D9"/>
    <w:rsid w:val="004873B3"/>
    <w:rsid w:val="004876A8"/>
    <w:rsid w:val="00487E6A"/>
    <w:rsid w:val="00490288"/>
    <w:rsid w:val="00491C3B"/>
    <w:rsid w:val="0049276C"/>
    <w:rsid w:val="00494709"/>
    <w:rsid w:val="004A049F"/>
    <w:rsid w:val="004A2708"/>
    <w:rsid w:val="004A34BD"/>
    <w:rsid w:val="004A3534"/>
    <w:rsid w:val="004A3B29"/>
    <w:rsid w:val="004A47AE"/>
    <w:rsid w:val="004A58F3"/>
    <w:rsid w:val="004A59D0"/>
    <w:rsid w:val="004A7922"/>
    <w:rsid w:val="004B1D82"/>
    <w:rsid w:val="004B302B"/>
    <w:rsid w:val="004B57E3"/>
    <w:rsid w:val="004B6633"/>
    <w:rsid w:val="004B680C"/>
    <w:rsid w:val="004B6F16"/>
    <w:rsid w:val="004B75E7"/>
    <w:rsid w:val="004B7AA1"/>
    <w:rsid w:val="004C0C53"/>
    <w:rsid w:val="004C1215"/>
    <w:rsid w:val="004C140E"/>
    <w:rsid w:val="004C2A3C"/>
    <w:rsid w:val="004C3EF7"/>
    <w:rsid w:val="004C61CB"/>
    <w:rsid w:val="004C638F"/>
    <w:rsid w:val="004C6B1E"/>
    <w:rsid w:val="004C6D0B"/>
    <w:rsid w:val="004D002F"/>
    <w:rsid w:val="004D02D1"/>
    <w:rsid w:val="004D11A3"/>
    <w:rsid w:val="004D2ED1"/>
    <w:rsid w:val="004D387C"/>
    <w:rsid w:val="004D422C"/>
    <w:rsid w:val="004E11A5"/>
    <w:rsid w:val="004E2DD5"/>
    <w:rsid w:val="004E4A11"/>
    <w:rsid w:val="004E4ACC"/>
    <w:rsid w:val="004E5B08"/>
    <w:rsid w:val="004E5BEE"/>
    <w:rsid w:val="004E6D48"/>
    <w:rsid w:val="004E7495"/>
    <w:rsid w:val="004F18A3"/>
    <w:rsid w:val="004F198D"/>
    <w:rsid w:val="004F2A64"/>
    <w:rsid w:val="004F2A72"/>
    <w:rsid w:val="004F3B38"/>
    <w:rsid w:val="004F4135"/>
    <w:rsid w:val="004F466B"/>
    <w:rsid w:val="004F4871"/>
    <w:rsid w:val="004F499F"/>
    <w:rsid w:val="004F539F"/>
    <w:rsid w:val="004F59FE"/>
    <w:rsid w:val="004F5E56"/>
    <w:rsid w:val="004F6064"/>
    <w:rsid w:val="004F620C"/>
    <w:rsid w:val="004F67E5"/>
    <w:rsid w:val="004F7FDD"/>
    <w:rsid w:val="00501883"/>
    <w:rsid w:val="00504EC0"/>
    <w:rsid w:val="00504FFF"/>
    <w:rsid w:val="005065C7"/>
    <w:rsid w:val="00507E51"/>
    <w:rsid w:val="005115A4"/>
    <w:rsid w:val="00512298"/>
    <w:rsid w:val="0051345B"/>
    <w:rsid w:val="00513901"/>
    <w:rsid w:val="00514431"/>
    <w:rsid w:val="00514506"/>
    <w:rsid w:val="00515226"/>
    <w:rsid w:val="005157BE"/>
    <w:rsid w:val="00515855"/>
    <w:rsid w:val="00521A5F"/>
    <w:rsid w:val="00521E33"/>
    <w:rsid w:val="005237CD"/>
    <w:rsid w:val="00523AF0"/>
    <w:rsid w:val="00525B7B"/>
    <w:rsid w:val="005307BF"/>
    <w:rsid w:val="00530F90"/>
    <w:rsid w:val="005310AC"/>
    <w:rsid w:val="00531964"/>
    <w:rsid w:val="0053239E"/>
    <w:rsid w:val="00533E3D"/>
    <w:rsid w:val="00534AC4"/>
    <w:rsid w:val="00535422"/>
    <w:rsid w:val="00535913"/>
    <w:rsid w:val="00535BCC"/>
    <w:rsid w:val="00536AB0"/>
    <w:rsid w:val="005372B6"/>
    <w:rsid w:val="005406A5"/>
    <w:rsid w:val="005408FF"/>
    <w:rsid w:val="00543B8C"/>
    <w:rsid w:val="00543E18"/>
    <w:rsid w:val="0054658B"/>
    <w:rsid w:val="00551857"/>
    <w:rsid w:val="005518F8"/>
    <w:rsid w:val="00552581"/>
    <w:rsid w:val="00552834"/>
    <w:rsid w:val="00553178"/>
    <w:rsid w:val="00553C3F"/>
    <w:rsid w:val="00555149"/>
    <w:rsid w:val="00555E58"/>
    <w:rsid w:val="005573C1"/>
    <w:rsid w:val="0055740B"/>
    <w:rsid w:val="00557C37"/>
    <w:rsid w:val="00560645"/>
    <w:rsid w:val="00561C4B"/>
    <w:rsid w:val="00561C90"/>
    <w:rsid w:val="0056209B"/>
    <w:rsid w:val="005623A5"/>
    <w:rsid w:val="005648C3"/>
    <w:rsid w:val="0056598B"/>
    <w:rsid w:val="00566176"/>
    <w:rsid w:val="00567409"/>
    <w:rsid w:val="005675B1"/>
    <w:rsid w:val="005676C7"/>
    <w:rsid w:val="00570516"/>
    <w:rsid w:val="005712B7"/>
    <w:rsid w:val="00571CED"/>
    <w:rsid w:val="00571DED"/>
    <w:rsid w:val="00573554"/>
    <w:rsid w:val="00577327"/>
    <w:rsid w:val="00577C9A"/>
    <w:rsid w:val="00580455"/>
    <w:rsid w:val="0058059E"/>
    <w:rsid w:val="0058081C"/>
    <w:rsid w:val="005812B8"/>
    <w:rsid w:val="00582B51"/>
    <w:rsid w:val="0058302A"/>
    <w:rsid w:val="005843EA"/>
    <w:rsid w:val="00584BE7"/>
    <w:rsid w:val="00584CF6"/>
    <w:rsid w:val="005859A9"/>
    <w:rsid w:val="00585C58"/>
    <w:rsid w:val="005865A4"/>
    <w:rsid w:val="00587E7A"/>
    <w:rsid w:val="00591BD3"/>
    <w:rsid w:val="00592AED"/>
    <w:rsid w:val="00593125"/>
    <w:rsid w:val="00593743"/>
    <w:rsid w:val="00593B32"/>
    <w:rsid w:val="0059516F"/>
    <w:rsid w:val="00595871"/>
    <w:rsid w:val="00595EEF"/>
    <w:rsid w:val="00596414"/>
    <w:rsid w:val="005964AA"/>
    <w:rsid w:val="00596F30"/>
    <w:rsid w:val="00597714"/>
    <w:rsid w:val="00597795"/>
    <w:rsid w:val="005A0713"/>
    <w:rsid w:val="005A0A59"/>
    <w:rsid w:val="005A10C8"/>
    <w:rsid w:val="005A1CD2"/>
    <w:rsid w:val="005A2191"/>
    <w:rsid w:val="005A2211"/>
    <w:rsid w:val="005A2568"/>
    <w:rsid w:val="005A2875"/>
    <w:rsid w:val="005B0443"/>
    <w:rsid w:val="005B058A"/>
    <w:rsid w:val="005B17EA"/>
    <w:rsid w:val="005B1C1D"/>
    <w:rsid w:val="005B2FB7"/>
    <w:rsid w:val="005B3FAD"/>
    <w:rsid w:val="005B4B6D"/>
    <w:rsid w:val="005B4E78"/>
    <w:rsid w:val="005B4F7D"/>
    <w:rsid w:val="005B5034"/>
    <w:rsid w:val="005B56EB"/>
    <w:rsid w:val="005B69AB"/>
    <w:rsid w:val="005B7298"/>
    <w:rsid w:val="005C0D10"/>
    <w:rsid w:val="005C1045"/>
    <w:rsid w:val="005C1672"/>
    <w:rsid w:val="005C3E25"/>
    <w:rsid w:val="005C423E"/>
    <w:rsid w:val="005C43DD"/>
    <w:rsid w:val="005C44EC"/>
    <w:rsid w:val="005C4DB1"/>
    <w:rsid w:val="005C53BB"/>
    <w:rsid w:val="005C598A"/>
    <w:rsid w:val="005C6A06"/>
    <w:rsid w:val="005C7007"/>
    <w:rsid w:val="005C732A"/>
    <w:rsid w:val="005C7D68"/>
    <w:rsid w:val="005D0401"/>
    <w:rsid w:val="005D2846"/>
    <w:rsid w:val="005D3B8A"/>
    <w:rsid w:val="005D3DDE"/>
    <w:rsid w:val="005D67F5"/>
    <w:rsid w:val="005D72B1"/>
    <w:rsid w:val="005E059B"/>
    <w:rsid w:val="005E0C64"/>
    <w:rsid w:val="005E113F"/>
    <w:rsid w:val="005E2FEF"/>
    <w:rsid w:val="005E443F"/>
    <w:rsid w:val="005E4C07"/>
    <w:rsid w:val="005E567F"/>
    <w:rsid w:val="005E76B0"/>
    <w:rsid w:val="005E7EA8"/>
    <w:rsid w:val="005F1A05"/>
    <w:rsid w:val="005F38E2"/>
    <w:rsid w:val="005F4783"/>
    <w:rsid w:val="005F581B"/>
    <w:rsid w:val="005F643C"/>
    <w:rsid w:val="0060039F"/>
    <w:rsid w:val="0060189A"/>
    <w:rsid w:val="006019F0"/>
    <w:rsid w:val="00602EF5"/>
    <w:rsid w:val="006039A6"/>
    <w:rsid w:val="00604748"/>
    <w:rsid w:val="006061CB"/>
    <w:rsid w:val="006069EB"/>
    <w:rsid w:val="006079BB"/>
    <w:rsid w:val="00611427"/>
    <w:rsid w:val="0061206F"/>
    <w:rsid w:val="0061229D"/>
    <w:rsid w:val="00612769"/>
    <w:rsid w:val="0061355F"/>
    <w:rsid w:val="0061574E"/>
    <w:rsid w:val="0061597F"/>
    <w:rsid w:val="00616627"/>
    <w:rsid w:val="00616F1A"/>
    <w:rsid w:val="006174A6"/>
    <w:rsid w:val="00617645"/>
    <w:rsid w:val="006179B5"/>
    <w:rsid w:val="00620733"/>
    <w:rsid w:val="00620DB2"/>
    <w:rsid w:val="0062172B"/>
    <w:rsid w:val="00624039"/>
    <w:rsid w:val="00624D88"/>
    <w:rsid w:val="006255B7"/>
    <w:rsid w:val="0062590A"/>
    <w:rsid w:val="00626DF7"/>
    <w:rsid w:val="00631649"/>
    <w:rsid w:val="00632A01"/>
    <w:rsid w:val="00632E0F"/>
    <w:rsid w:val="00632E61"/>
    <w:rsid w:val="0063396D"/>
    <w:rsid w:val="00633F41"/>
    <w:rsid w:val="006341F4"/>
    <w:rsid w:val="006362AA"/>
    <w:rsid w:val="0063635B"/>
    <w:rsid w:val="00636AEF"/>
    <w:rsid w:val="006377A1"/>
    <w:rsid w:val="00637D53"/>
    <w:rsid w:val="00640A24"/>
    <w:rsid w:val="00641760"/>
    <w:rsid w:val="00641DC5"/>
    <w:rsid w:val="00642CCA"/>
    <w:rsid w:val="0064438B"/>
    <w:rsid w:val="00645596"/>
    <w:rsid w:val="006466E9"/>
    <w:rsid w:val="0065062B"/>
    <w:rsid w:val="006510DD"/>
    <w:rsid w:val="0065187B"/>
    <w:rsid w:val="0065217A"/>
    <w:rsid w:val="00652335"/>
    <w:rsid w:val="006523FA"/>
    <w:rsid w:val="006536A9"/>
    <w:rsid w:val="00653798"/>
    <w:rsid w:val="0065671A"/>
    <w:rsid w:val="0066187A"/>
    <w:rsid w:val="00661A1D"/>
    <w:rsid w:val="00663979"/>
    <w:rsid w:val="00663D9C"/>
    <w:rsid w:val="00667822"/>
    <w:rsid w:val="00667A87"/>
    <w:rsid w:val="006729C2"/>
    <w:rsid w:val="00673CAA"/>
    <w:rsid w:val="006744DF"/>
    <w:rsid w:val="00674F37"/>
    <w:rsid w:val="00675B06"/>
    <w:rsid w:val="0067695A"/>
    <w:rsid w:val="00677346"/>
    <w:rsid w:val="006807CC"/>
    <w:rsid w:val="00680F40"/>
    <w:rsid w:val="0068241D"/>
    <w:rsid w:val="0068368C"/>
    <w:rsid w:val="00683F40"/>
    <w:rsid w:val="00686E82"/>
    <w:rsid w:val="0068772E"/>
    <w:rsid w:val="00690005"/>
    <w:rsid w:val="0069041E"/>
    <w:rsid w:val="006925D1"/>
    <w:rsid w:val="00692A96"/>
    <w:rsid w:val="00693C0C"/>
    <w:rsid w:val="00693F1E"/>
    <w:rsid w:val="006943C2"/>
    <w:rsid w:val="00696272"/>
    <w:rsid w:val="00696E2F"/>
    <w:rsid w:val="00697979"/>
    <w:rsid w:val="006A0911"/>
    <w:rsid w:val="006A0EB4"/>
    <w:rsid w:val="006A11AE"/>
    <w:rsid w:val="006A1763"/>
    <w:rsid w:val="006A1AEF"/>
    <w:rsid w:val="006A3D1D"/>
    <w:rsid w:val="006A4DCC"/>
    <w:rsid w:val="006A56C8"/>
    <w:rsid w:val="006A5A7C"/>
    <w:rsid w:val="006A72E6"/>
    <w:rsid w:val="006A78B5"/>
    <w:rsid w:val="006B1C60"/>
    <w:rsid w:val="006B1E8B"/>
    <w:rsid w:val="006B24F8"/>
    <w:rsid w:val="006B3148"/>
    <w:rsid w:val="006B367B"/>
    <w:rsid w:val="006B395D"/>
    <w:rsid w:val="006B5228"/>
    <w:rsid w:val="006B542D"/>
    <w:rsid w:val="006B577F"/>
    <w:rsid w:val="006B5801"/>
    <w:rsid w:val="006B5EC0"/>
    <w:rsid w:val="006C0BA9"/>
    <w:rsid w:val="006C1B9B"/>
    <w:rsid w:val="006C2BBA"/>
    <w:rsid w:val="006C31FE"/>
    <w:rsid w:val="006C40CB"/>
    <w:rsid w:val="006C4911"/>
    <w:rsid w:val="006C79E8"/>
    <w:rsid w:val="006D0291"/>
    <w:rsid w:val="006D1EAE"/>
    <w:rsid w:val="006D22A1"/>
    <w:rsid w:val="006D2C5F"/>
    <w:rsid w:val="006D2D31"/>
    <w:rsid w:val="006D3CFA"/>
    <w:rsid w:val="006D44D8"/>
    <w:rsid w:val="006D7A2A"/>
    <w:rsid w:val="006E1448"/>
    <w:rsid w:val="006E4C37"/>
    <w:rsid w:val="006E5103"/>
    <w:rsid w:val="006E5B17"/>
    <w:rsid w:val="006E5F38"/>
    <w:rsid w:val="006E6E1D"/>
    <w:rsid w:val="006E7E9A"/>
    <w:rsid w:val="006F1499"/>
    <w:rsid w:val="006F2AD0"/>
    <w:rsid w:val="006F2C45"/>
    <w:rsid w:val="006F3A8E"/>
    <w:rsid w:val="006F4CCF"/>
    <w:rsid w:val="006F5230"/>
    <w:rsid w:val="006F5242"/>
    <w:rsid w:val="006F5C5F"/>
    <w:rsid w:val="006F7DAA"/>
    <w:rsid w:val="00701289"/>
    <w:rsid w:val="007016A0"/>
    <w:rsid w:val="0070201A"/>
    <w:rsid w:val="00702F1E"/>
    <w:rsid w:val="00703624"/>
    <w:rsid w:val="00707089"/>
    <w:rsid w:val="00707A8C"/>
    <w:rsid w:val="007101DF"/>
    <w:rsid w:val="00710CD9"/>
    <w:rsid w:val="007116AC"/>
    <w:rsid w:val="00713068"/>
    <w:rsid w:val="00713B2A"/>
    <w:rsid w:val="0071556F"/>
    <w:rsid w:val="00717831"/>
    <w:rsid w:val="00720DEB"/>
    <w:rsid w:val="00721921"/>
    <w:rsid w:val="00725366"/>
    <w:rsid w:val="00725EC1"/>
    <w:rsid w:val="00725FE3"/>
    <w:rsid w:val="00726547"/>
    <w:rsid w:val="00727316"/>
    <w:rsid w:val="0073091C"/>
    <w:rsid w:val="0073163E"/>
    <w:rsid w:val="00732F49"/>
    <w:rsid w:val="007337B3"/>
    <w:rsid w:val="0073441B"/>
    <w:rsid w:val="0073641F"/>
    <w:rsid w:val="0073686B"/>
    <w:rsid w:val="00737EF6"/>
    <w:rsid w:val="00740006"/>
    <w:rsid w:val="007405B4"/>
    <w:rsid w:val="007408E4"/>
    <w:rsid w:val="00741215"/>
    <w:rsid w:val="00744599"/>
    <w:rsid w:val="0074785C"/>
    <w:rsid w:val="00747C1E"/>
    <w:rsid w:val="00752291"/>
    <w:rsid w:val="007527D9"/>
    <w:rsid w:val="00754437"/>
    <w:rsid w:val="00754D9C"/>
    <w:rsid w:val="00756341"/>
    <w:rsid w:val="007565C5"/>
    <w:rsid w:val="0076061B"/>
    <w:rsid w:val="00761A02"/>
    <w:rsid w:val="00761B73"/>
    <w:rsid w:val="00761EF2"/>
    <w:rsid w:val="00762528"/>
    <w:rsid w:val="0076384A"/>
    <w:rsid w:val="00763CBE"/>
    <w:rsid w:val="007650EA"/>
    <w:rsid w:val="00765C7C"/>
    <w:rsid w:val="0076646B"/>
    <w:rsid w:val="007674CA"/>
    <w:rsid w:val="007676FE"/>
    <w:rsid w:val="00771A3B"/>
    <w:rsid w:val="0077213D"/>
    <w:rsid w:val="00773939"/>
    <w:rsid w:val="00773E8E"/>
    <w:rsid w:val="007741EA"/>
    <w:rsid w:val="007749EE"/>
    <w:rsid w:val="00774D9A"/>
    <w:rsid w:val="00774F6E"/>
    <w:rsid w:val="00775ACF"/>
    <w:rsid w:val="00775CA0"/>
    <w:rsid w:val="00775EF7"/>
    <w:rsid w:val="00776873"/>
    <w:rsid w:val="00776AC5"/>
    <w:rsid w:val="00776CC6"/>
    <w:rsid w:val="00780178"/>
    <w:rsid w:val="00780BB2"/>
    <w:rsid w:val="007817F2"/>
    <w:rsid w:val="00782E63"/>
    <w:rsid w:val="0078584F"/>
    <w:rsid w:val="00785C3A"/>
    <w:rsid w:val="00786592"/>
    <w:rsid w:val="0078666A"/>
    <w:rsid w:val="00787315"/>
    <w:rsid w:val="007877FD"/>
    <w:rsid w:val="007879EB"/>
    <w:rsid w:val="007904D3"/>
    <w:rsid w:val="007909E0"/>
    <w:rsid w:val="00790FA3"/>
    <w:rsid w:val="007918E8"/>
    <w:rsid w:val="00792695"/>
    <w:rsid w:val="00793251"/>
    <w:rsid w:val="007966ED"/>
    <w:rsid w:val="00796895"/>
    <w:rsid w:val="007977B7"/>
    <w:rsid w:val="007A0EA0"/>
    <w:rsid w:val="007A12A9"/>
    <w:rsid w:val="007A1745"/>
    <w:rsid w:val="007A278C"/>
    <w:rsid w:val="007A2F1C"/>
    <w:rsid w:val="007A3790"/>
    <w:rsid w:val="007A460C"/>
    <w:rsid w:val="007A51AA"/>
    <w:rsid w:val="007A6147"/>
    <w:rsid w:val="007A61F6"/>
    <w:rsid w:val="007A6840"/>
    <w:rsid w:val="007A69A2"/>
    <w:rsid w:val="007A6F0C"/>
    <w:rsid w:val="007B1B6D"/>
    <w:rsid w:val="007B229C"/>
    <w:rsid w:val="007B2793"/>
    <w:rsid w:val="007B2CC7"/>
    <w:rsid w:val="007B2E4D"/>
    <w:rsid w:val="007B2F2A"/>
    <w:rsid w:val="007B4A01"/>
    <w:rsid w:val="007B50DC"/>
    <w:rsid w:val="007B5317"/>
    <w:rsid w:val="007B5497"/>
    <w:rsid w:val="007B6FCB"/>
    <w:rsid w:val="007C0124"/>
    <w:rsid w:val="007C06B4"/>
    <w:rsid w:val="007C1CD2"/>
    <w:rsid w:val="007C2961"/>
    <w:rsid w:val="007C2978"/>
    <w:rsid w:val="007C4D6D"/>
    <w:rsid w:val="007C5682"/>
    <w:rsid w:val="007C5EF3"/>
    <w:rsid w:val="007D0D0E"/>
    <w:rsid w:val="007D1A51"/>
    <w:rsid w:val="007D2D50"/>
    <w:rsid w:val="007D2DB8"/>
    <w:rsid w:val="007D3900"/>
    <w:rsid w:val="007D4E24"/>
    <w:rsid w:val="007D77D6"/>
    <w:rsid w:val="007D7C75"/>
    <w:rsid w:val="007D7EC2"/>
    <w:rsid w:val="007E0357"/>
    <w:rsid w:val="007E056A"/>
    <w:rsid w:val="007E08F2"/>
    <w:rsid w:val="007E1220"/>
    <w:rsid w:val="007E14C9"/>
    <w:rsid w:val="007E17DC"/>
    <w:rsid w:val="007E19AA"/>
    <w:rsid w:val="007E1D3D"/>
    <w:rsid w:val="007E2795"/>
    <w:rsid w:val="007E31E8"/>
    <w:rsid w:val="007E3923"/>
    <w:rsid w:val="007E3CA9"/>
    <w:rsid w:val="007E49D5"/>
    <w:rsid w:val="007E4B30"/>
    <w:rsid w:val="007E4DDB"/>
    <w:rsid w:val="007E4DE1"/>
    <w:rsid w:val="007E5DA5"/>
    <w:rsid w:val="007E5EE8"/>
    <w:rsid w:val="007E76CF"/>
    <w:rsid w:val="007F0B90"/>
    <w:rsid w:val="007F1B17"/>
    <w:rsid w:val="007F32A0"/>
    <w:rsid w:val="007F384B"/>
    <w:rsid w:val="007F3DF5"/>
    <w:rsid w:val="007F43B5"/>
    <w:rsid w:val="007F45E4"/>
    <w:rsid w:val="007F4F04"/>
    <w:rsid w:val="007F5505"/>
    <w:rsid w:val="007F5BFB"/>
    <w:rsid w:val="00800177"/>
    <w:rsid w:val="00800451"/>
    <w:rsid w:val="00801274"/>
    <w:rsid w:val="00801D93"/>
    <w:rsid w:val="00804C61"/>
    <w:rsid w:val="00805FC2"/>
    <w:rsid w:val="00805FD2"/>
    <w:rsid w:val="00806B60"/>
    <w:rsid w:val="00806BE6"/>
    <w:rsid w:val="00807281"/>
    <w:rsid w:val="00807A51"/>
    <w:rsid w:val="00810AC1"/>
    <w:rsid w:val="008119B9"/>
    <w:rsid w:val="00812021"/>
    <w:rsid w:val="008128C7"/>
    <w:rsid w:val="00813FEC"/>
    <w:rsid w:val="00814EF5"/>
    <w:rsid w:val="0081515C"/>
    <w:rsid w:val="008158C9"/>
    <w:rsid w:val="00816EDB"/>
    <w:rsid w:val="00817E15"/>
    <w:rsid w:val="00820337"/>
    <w:rsid w:val="00823BBB"/>
    <w:rsid w:val="00823E05"/>
    <w:rsid w:val="00823E50"/>
    <w:rsid w:val="008263C9"/>
    <w:rsid w:val="0082677F"/>
    <w:rsid w:val="00826870"/>
    <w:rsid w:val="0082707F"/>
    <w:rsid w:val="008301D2"/>
    <w:rsid w:val="00831777"/>
    <w:rsid w:val="0083389E"/>
    <w:rsid w:val="0083392D"/>
    <w:rsid w:val="0083541B"/>
    <w:rsid w:val="00835874"/>
    <w:rsid w:val="008367B4"/>
    <w:rsid w:val="00837CDD"/>
    <w:rsid w:val="0084077C"/>
    <w:rsid w:val="00842560"/>
    <w:rsid w:val="00842CA9"/>
    <w:rsid w:val="008435E8"/>
    <w:rsid w:val="008444A0"/>
    <w:rsid w:val="00844E3F"/>
    <w:rsid w:val="0084527C"/>
    <w:rsid w:val="00845654"/>
    <w:rsid w:val="00845EFD"/>
    <w:rsid w:val="00846B12"/>
    <w:rsid w:val="00847419"/>
    <w:rsid w:val="008518D7"/>
    <w:rsid w:val="008538BB"/>
    <w:rsid w:val="008543D4"/>
    <w:rsid w:val="00855881"/>
    <w:rsid w:val="008558F2"/>
    <w:rsid w:val="00856C14"/>
    <w:rsid w:val="00860392"/>
    <w:rsid w:val="00860C7F"/>
    <w:rsid w:val="0086187C"/>
    <w:rsid w:val="00862115"/>
    <w:rsid w:val="00862DD9"/>
    <w:rsid w:val="008630DC"/>
    <w:rsid w:val="00864FDC"/>
    <w:rsid w:val="00865E2C"/>
    <w:rsid w:val="008661B0"/>
    <w:rsid w:val="00866A5C"/>
    <w:rsid w:val="00867780"/>
    <w:rsid w:val="0087117F"/>
    <w:rsid w:val="008712FA"/>
    <w:rsid w:val="008721EB"/>
    <w:rsid w:val="00875816"/>
    <w:rsid w:val="00881016"/>
    <w:rsid w:val="008829F5"/>
    <w:rsid w:val="008834CA"/>
    <w:rsid w:val="0088404E"/>
    <w:rsid w:val="0088527B"/>
    <w:rsid w:val="00885436"/>
    <w:rsid w:val="0088572C"/>
    <w:rsid w:val="00886A1C"/>
    <w:rsid w:val="008916F0"/>
    <w:rsid w:val="00893857"/>
    <w:rsid w:val="00893F3E"/>
    <w:rsid w:val="0089430F"/>
    <w:rsid w:val="00894881"/>
    <w:rsid w:val="00897380"/>
    <w:rsid w:val="008A0869"/>
    <w:rsid w:val="008A15E5"/>
    <w:rsid w:val="008A1CB6"/>
    <w:rsid w:val="008A2A8B"/>
    <w:rsid w:val="008A469D"/>
    <w:rsid w:val="008A67DF"/>
    <w:rsid w:val="008A6A2E"/>
    <w:rsid w:val="008A6D5F"/>
    <w:rsid w:val="008A6DB3"/>
    <w:rsid w:val="008A6F8E"/>
    <w:rsid w:val="008B052B"/>
    <w:rsid w:val="008B12CD"/>
    <w:rsid w:val="008B171B"/>
    <w:rsid w:val="008B2C02"/>
    <w:rsid w:val="008B354D"/>
    <w:rsid w:val="008B4F25"/>
    <w:rsid w:val="008B6914"/>
    <w:rsid w:val="008B7377"/>
    <w:rsid w:val="008B7DBA"/>
    <w:rsid w:val="008C074F"/>
    <w:rsid w:val="008C22BC"/>
    <w:rsid w:val="008C36AC"/>
    <w:rsid w:val="008C430A"/>
    <w:rsid w:val="008C59B1"/>
    <w:rsid w:val="008C5AA7"/>
    <w:rsid w:val="008C6200"/>
    <w:rsid w:val="008C726C"/>
    <w:rsid w:val="008D05C9"/>
    <w:rsid w:val="008D1072"/>
    <w:rsid w:val="008D16D1"/>
    <w:rsid w:val="008D17C0"/>
    <w:rsid w:val="008D2F9D"/>
    <w:rsid w:val="008D32EC"/>
    <w:rsid w:val="008D35EF"/>
    <w:rsid w:val="008D48BF"/>
    <w:rsid w:val="008D58DF"/>
    <w:rsid w:val="008D5E39"/>
    <w:rsid w:val="008E21AC"/>
    <w:rsid w:val="008E250A"/>
    <w:rsid w:val="008E353B"/>
    <w:rsid w:val="008E7D06"/>
    <w:rsid w:val="008F0427"/>
    <w:rsid w:val="008F0B08"/>
    <w:rsid w:val="008F0CF1"/>
    <w:rsid w:val="008F1827"/>
    <w:rsid w:val="008F32D9"/>
    <w:rsid w:val="008F35CF"/>
    <w:rsid w:val="008F4532"/>
    <w:rsid w:val="008F4F2E"/>
    <w:rsid w:val="008F5228"/>
    <w:rsid w:val="008F55BE"/>
    <w:rsid w:val="008F5944"/>
    <w:rsid w:val="008F677A"/>
    <w:rsid w:val="008F6BC4"/>
    <w:rsid w:val="008F6E08"/>
    <w:rsid w:val="008F7801"/>
    <w:rsid w:val="008F7A30"/>
    <w:rsid w:val="00900F38"/>
    <w:rsid w:val="009016FF"/>
    <w:rsid w:val="0090270A"/>
    <w:rsid w:val="0090517F"/>
    <w:rsid w:val="009051A9"/>
    <w:rsid w:val="00905F96"/>
    <w:rsid w:val="009066D3"/>
    <w:rsid w:val="00907E0E"/>
    <w:rsid w:val="00907E8A"/>
    <w:rsid w:val="00910199"/>
    <w:rsid w:val="009102D6"/>
    <w:rsid w:val="00910A3F"/>
    <w:rsid w:val="00910C41"/>
    <w:rsid w:val="00910C7F"/>
    <w:rsid w:val="00911843"/>
    <w:rsid w:val="0091232C"/>
    <w:rsid w:val="00912A64"/>
    <w:rsid w:val="00914619"/>
    <w:rsid w:val="0091500C"/>
    <w:rsid w:val="00916415"/>
    <w:rsid w:val="00916D77"/>
    <w:rsid w:val="00921E97"/>
    <w:rsid w:val="00923EB5"/>
    <w:rsid w:val="00924037"/>
    <w:rsid w:val="00924D6F"/>
    <w:rsid w:val="00925181"/>
    <w:rsid w:val="00925485"/>
    <w:rsid w:val="00925CE1"/>
    <w:rsid w:val="00927546"/>
    <w:rsid w:val="00934241"/>
    <w:rsid w:val="00936A2B"/>
    <w:rsid w:val="0094052A"/>
    <w:rsid w:val="0094055E"/>
    <w:rsid w:val="009412C3"/>
    <w:rsid w:val="009423E5"/>
    <w:rsid w:val="00942A91"/>
    <w:rsid w:val="009432C0"/>
    <w:rsid w:val="0094510F"/>
    <w:rsid w:val="00945C5A"/>
    <w:rsid w:val="00950299"/>
    <w:rsid w:val="009510AA"/>
    <w:rsid w:val="00952FC3"/>
    <w:rsid w:val="00955434"/>
    <w:rsid w:val="0095680D"/>
    <w:rsid w:val="00956F6A"/>
    <w:rsid w:val="009575CA"/>
    <w:rsid w:val="009618DE"/>
    <w:rsid w:val="00961C1B"/>
    <w:rsid w:val="0096374B"/>
    <w:rsid w:val="009649EA"/>
    <w:rsid w:val="0096509A"/>
    <w:rsid w:val="009663EF"/>
    <w:rsid w:val="0097077D"/>
    <w:rsid w:val="009710F7"/>
    <w:rsid w:val="009738F3"/>
    <w:rsid w:val="0097436F"/>
    <w:rsid w:val="00974DBA"/>
    <w:rsid w:val="00975140"/>
    <w:rsid w:val="0097594B"/>
    <w:rsid w:val="00981243"/>
    <w:rsid w:val="00983719"/>
    <w:rsid w:val="00983AFA"/>
    <w:rsid w:val="009859FA"/>
    <w:rsid w:val="00985D1E"/>
    <w:rsid w:val="0099195B"/>
    <w:rsid w:val="00992E43"/>
    <w:rsid w:val="00994B71"/>
    <w:rsid w:val="00994D69"/>
    <w:rsid w:val="00996914"/>
    <w:rsid w:val="00996953"/>
    <w:rsid w:val="009A2ED1"/>
    <w:rsid w:val="009A3EFC"/>
    <w:rsid w:val="009A4F04"/>
    <w:rsid w:val="009A6AA5"/>
    <w:rsid w:val="009A6F9A"/>
    <w:rsid w:val="009A7DA8"/>
    <w:rsid w:val="009B0599"/>
    <w:rsid w:val="009B1E83"/>
    <w:rsid w:val="009B245A"/>
    <w:rsid w:val="009B2FAE"/>
    <w:rsid w:val="009B423F"/>
    <w:rsid w:val="009B4A52"/>
    <w:rsid w:val="009B4D4A"/>
    <w:rsid w:val="009B61AD"/>
    <w:rsid w:val="009B69DF"/>
    <w:rsid w:val="009B787B"/>
    <w:rsid w:val="009B7CC7"/>
    <w:rsid w:val="009C051D"/>
    <w:rsid w:val="009C05EC"/>
    <w:rsid w:val="009C10A4"/>
    <w:rsid w:val="009C320A"/>
    <w:rsid w:val="009C5FC0"/>
    <w:rsid w:val="009C6871"/>
    <w:rsid w:val="009C6B17"/>
    <w:rsid w:val="009C6B94"/>
    <w:rsid w:val="009C7BB1"/>
    <w:rsid w:val="009D18CC"/>
    <w:rsid w:val="009D1E3E"/>
    <w:rsid w:val="009D24F3"/>
    <w:rsid w:val="009D2CD3"/>
    <w:rsid w:val="009D350B"/>
    <w:rsid w:val="009D3F89"/>
    <w:rsid w:val="009D492D"/>
    <w:rsid w:val="009D55F9"/>
    <w:rsid w:val="009D5807"/>
    <w:rsid w:val="009D61F3"/>
    <w:rsid w:val="009E0328"/>
    <w:rsid w:val="009E047D"/>
    <w:rsid w:val="009E1069"/>
    <w:rsid w:val="009E1557"/>
    <w:rsid w:val="009E32D4"/>
    <w:rsid w:val="009E4734"/>
    <w:rsid w:val="009E6099"/>
    <w:rsid w:val="009E654F"/>
    <w:rsid w:val="009E6FC0"/>
    <w:rsid w:val="009E759A"/>
    <w:rsid w:val="009F0CE2"/>
    <w:rsid w:val="009F16B2"/>
    <w:rsid w:val="009F3050"/>
    <w:rsid w:val="009F3C8B"/>
    <w:rsid w:val="009F4731"/>
    <w:rsid w:val="009F4ADD"/>
    <w:rsid w:val="009F5DDF"/>
    <w:rsid w:val="009F6212"/>
    <w:rsid w:val="00A000EB"/>
    <w:rsid w:val="00A00B0D"/>
    <w:rsid w:val="00A019FB"/>
    <w:rsid w:val="00A01B66"/>
    <w:rsid w:val="00A02D52"/>
    <w:rsid w:val="00A03609"/>
    <w:rsid w:val="00A03CF3"/>
    <w:rsid w:val="00A04BAE"/>
    <w:rsid w:val="00A05C4B"/>
    <w:rsid w:val="00A07682"/>
    <w:rsid w:val="00A10CF0"/>
    <w:rsid w:val="00A10F26"/>
    <w:rsid w:val="00A11387"/>
    <w:rsid w:val="00A12102"/>
    <w:rsid w:val="00A127AE"/>
    <w:rsid w:val="00A12C53"/>
    <w:rsid w:val="00A14864"/>
    <w:rsid w:val="00A1512D"/>
    <w:rsid w:val="00A25809"/>
    <w:rsid w:val="00A25B69"/>
    <w:rsid w:val="00A25BF2"/>
    <w:rsid w:val="00A26FCC"/>
    <w:rsid w:val="00A30F95"/>
    <w:rsid w:val="00A3158F"/>
    <w:rsid w:val="00A315FB"/>
    <w:rsid w:val="00A32521"/>
    <w:rsid w:val="00A339CB"/>
    <w:rsid w:val="00A34220"/>
    <w:rsid w:val="00A34282"/>
    <w:rsid w:val="00A351D9"/>
    <w:rsid w:val="00A3588B"/>
    <w:rsid w:val="00A361FF"/>
    <w:rsid w:val="00A37D15"/>
    <w:rsid w:val="00A41B5E"/>
    <w:rsid w:val="00A42A4A"/>
    <w:rsid w:val="00A42B9C"/>
    <w:rsid w:val="00A433CA"/>
    <w:rsid w:val="00A4499F"/>
    <w:rsid w:val="00A44FAF"/>
    <w:rsid w:val="00A456CF"/>
    <w:rsid w:val="00A46F2D"/>
    <w:rsid w:val="00A4708D"/>
    <w:rsid w:val="00A50D30"/>
    <w:rsid w:val="00A5190B"/>
    <w:rsid w:val="00A53006"/>
    <w:rsid w:val="00A53C8F"/>
    <w:rsid w:val="00A55505"/>
    <w:rsid w:val="00A6026D"/>
    <w:rsid w:val="00A60296"/>
    <w:rsid w:val="00A6111B"/>
    <w:rsid w:val="00A6130F"/>
    <w:rsid w:val="00A61EAD"/>
    <w:rsid w:val="00A62415"/>
    <w:rsid w:val="00A62651"/>
    <w:rsid w:val="00A6372A"/>
    <w:rsid w:val="00A6474E"/>
    <w:rsid w:val="00A6705C"/>
    <w:rsid w:val="00A678A1"/>
    <w:rsid w:val="00A7007B"/>
    <w:rsid w:val="00A70332"/>
    <w:rsid w:val="00A70A1B"/>
    <w:rsid w:val="00A70CA0"/>
    <w:rsid w:val="00A72B80"/>
    <w:rsid w:val="00A72F71"/>
    <w:rsid w:val="00A72FDB"/>
    <w:rsid w:val="00A735A7"/>
    <w:rsid w:val="00A73D7A"/>
    <w:rsid w:val="00A75032"/>
    <w:rsid w:val="00A77992"/>
    <w:rsid w:val="00A81303"/>
    <w:rsid w:val="00A81405"/>
    <w:rsid w:val="00A81DEE"/>
    <w:rsid w:val="00A825E7"/>
    <w:rsid w:val="00A83064"/>
    <w:rsid w:val="00A843E8"/>
    <w:rsid w:val="00A84BBB"/>
    <w:rsid w:val="00A850A6"/>
    <w:rsid w:val="00A85D49"/>
    <w:rsid w:val="00A85DF3"/>
    <w:rsid w:val="00A85F61"/>
    <w:rsid w:val="00A863A0"/>
    <w:rsid w:val="00A8710D"/>
    <w:rsid w:val="00A871F5"/>
    <w:rsid w:val="00A906DA"/>
    <w:rsid w:val="00A92045"/>
    <w:rsid w:val="00A93FC6"/>
    <w:rsid w:val="00A950E0"/>
    <w:rsid w:val="00A9575B"/>
    <w:rsid w:val="00A95FE7"/>
    <w:rsid w:val="00A962D3"/>
    <w:rsid w:val="00A9797E"/>
    <w:rsid w:val="00AA2B21"/>
    <w:rsid w:val="00AA3A1D"/>
    <w:rsid w:val="00AA4019"/>
    <w:rsid w:val="00AA4E9B"/>
    <w:rsid w:val="00AA53C7"/>
    <w:rsid w:val="00AA5B88"/>
    <w:rsid w:val="00AA77E2"/>
    <w:rsid w:val="00AB0662"/>
    <w:rsid w:val="00AB0793"/>
    <w:rsid w:val="00AB0A1D"/>
    <w:rsid w:val="00AB4E2D"/>
    <w:rsid w:val="00AB50D5"/>
    <w:rsid w:val="00AB5273"/>
    <w:rsid w:val="00AB5CF9"/>
    <w:rsid w:val="00AB637C"/>
    <w:rsid w:val="00AC205A"/>
    <w:rsid w:val="00AC43E1"/>
    <w:rsid w:val="00AC44D2"/>
    <w:rsid w:val="00AC4CB4"/>
    <w:rsid w:val="00AC5968"/>
    <w:rsid w:val="00AC5FD3"/>
    <w:rsid w:val="00AC6529"/>
    <w:rsid w:val="00AC66F5"/>
    <w:rsid w:val="00AC6D9A"/>
    <w:rsid w:val="00AC74AD"/>
    <w:rsid w:val="00AC798D"/>
    <w:rsid w:val="00AD0600"/>
    <w:rsid w:val="00AD2211"/>
    <w:rsid w:val="00AD2F59"/>
    <w:rsid w:val="00AD2FCC"/>
    <w:rsid w:val="00AD4807"/>
    <w:rsid w:val="00AD51F3"/>
    <w:rsid w:val="00AD6652"/>
    <w:rsid w:val="00AD7B7B"/>
    <w:rsid w:val="00AE08FC"/>
    <w:rsid w:val="00AE11A6"/>
    <w:rsid w:val="00AE39A3"/>
    <w:rsid w:val="00AE3F3E"/>
    <w:rsid w:val="00AE499E"/>
    <w:rsid w:val="00AE4E10"/>
    <w:rsid w:val="00AE678F"/>
    <w:rsid w:val="00AE7323"/>
    <w:rsid w:val="00AF008C"/>
    <w:rsid w:val="00AF1280"/>
    <w:rsid w:val="00AF2058"/>
    <w:rsid w:val="00AF236A"/>
    <w:rsid w:val="00AF276D"/>
    <w:rsid w:val="00AF467A"/>
    <w:rsid w:val="00AF4ED9"/>
    <w:rsid w:val="00AF559B"/>
    <w:rsid w:val="00AF7433"/>
    <w:rsid w:val="00B005B4"/>
    <w:rsid w:val="00B00627"/>
    <w:rsid w:val="00B00B68"/>
    <w:rsid w:val="00B016D8"/>
    <w:rsid w:val="00B01FFA"/>
    <w:rsid w:val="00B02151"/>
    <w:rsid w:val="00B028B4"/>
    <w:rsid w:val="00B03338"/>
    <w:rsid w:val="00B047C3"/>
    <w:rsid w:val="00B059D5"/>
    <w:rsid w:val="00B06018"/>
    <w:rsid w:val="00B060AF"/>
    <w:rsid w:val="00B061A1"/>
    <w:rsid w:val="00B0638B"/>
    <w:rsid w:val="00B068A6"/>
    <w:rsid w:val="00B0696A"/>
    <w:rsid w:val="00B07D38"/>
    <w:rsid w:val="00B103A6"/>
    <w:rsid w:val="00B10C3D"/>
    <w:rsid w:val="00B12E5C"/>
    <w:rsid w:val="00B13933"/>
    <w:rsid w:val="00B13FE2"/>
    <w:rsid w:val="00B14BFB"/>
    <w:rsid w:val="00B14EEF"/>
    <w:rsid w:val="00B17A12"/>
    <w:rsid w:val="00B2091B"/>
    <w:rsid w:val="00B24D06"/>
    <w:rsid w:val="00B250E8"/>
    <w:rsid w:val="00B2580B"/>
    <w:rsid w:val="00B26EDF"/>
    <w:rsid w:val="00B27069"/>
    <w:rsid w:val="00B270B5"/>
    <w:rsid w:val="00B271FA"/>
    <w:rsid w:val="00B3042C"/>
    <w:rsid w:val="00B31534"/>
    <w:rsid w:val="00B33EAC"/>
    <w:rsid w:val="00B3481F"/>
    <w:rsid w:val="00B34D33"/>
    <w:rsid w:val="00B35F8E"/>
    <w:rsid w:val="00B36122"/>
    <w:rsid w:val="00B36E1C"/>
    <w:rsid w:val="00B40885"/>
    <w:rsid w:val="00B40A5A"/>
    <w:rsid w:val="00B416AF"/>
    <w:rsid w:val="00B42376"/>
    <w:rsid w:val="00B42569"/>
    <w:rsid w:val="00B43A36"/>
    <w:rsid w:val="00B44401"/>
    <w:rsid w:val="00B446CC"/>
    <w:rsid w:val="00B453CE"/>
    <w:rsid w:val="00B45D40"/>
    <w:rsid w:val="00B45DBD"/>
    <w:rsid w:val="00B460DF"/>
    <w:rsid w:val="00B50899"/>
    <w:rsid w:val="00B52E6C"/>
    <w:rsid w:val="00B535BE"/>
    <w:rsid w:val="00B5390E"/>
    <w:rsid w:val="00B542D1"/>
    <w:rsid w:val="00B54583"/>
    <w:rsid w:val="00B57965"/>
    <w:rsid w:val="00B579E2"/>
    <w:rsid w:val="00B60396"/>
    <w:rsid w:val="00B61F2F"/>
    <w:rsid w:val="00B637E6"/>
    <w:rsid w:val="00B63F15"/>
    <w:rsid w:val="00B66A92"/>
    <w:rsid w:val="00B67D88"/>
    <w:rsid w:val="00B70900"/>
    <w:rsid w:val="00B71A25"/>
    <w:rsid w:val="00B72049"/>
    <w:rsid w:val="00B72AE9"/>
    <w:rsid w:val="00B74B49"/>
    <w:rsid w:val="00B74B94"/>
    <w:rsid w:val="00B760C5"/>
    <w:rsid w:val="00B76755"/>
    <w:rsid w:val="00B80E7B"/>
    <w:rsid w:val="00B811CA"/>
    <w:rsid w:val="00B822EA"/>
    <w:rsid w:val="00B839E0"/>
    <w:rsid w:val="00B844A5"/>
    <w:rsid w:val="00B84A91"/>
    <w:rsid w:val="00B84DF1"/>
    <w:rsid w:val="00B85EDD"/>
    <w:rsid w:val="00B872CC"/>
    <w:rsid w:val="00B906FE"/>
    <w:rsid w:val="00B9085A"/>
    <w:rsid w:val="00B90A9E"/>
    <w:rsid w:val="00B91106"/>
    <w:rsid w:val="00B93410"/>
    <w:rsid w:val="00B94381"/>
    <w:rsid w:val="00B951DD"/>
    <w:rsid w:val="00B9601A"/>
    <w:rsid w:val="00BA0856"/>
    <w:rsid w:val="00BA0B6A"/>
    <w:rsid w:val="00BA2326"/>
    <w:rsid w:val="00BA3059"/>
    <w:rsid w:val="00BA3300"/>
    <w:rsid w:val="00BA525F"/>
    <w:rsid w:val="00BA7131"/>
    <w:rsid w:val="00BB057D"/>
    <w:rsid w:val="00BB06D9"/>
    <w:rsid w:val="00BB55BC"/>
    <w:rsid w:val="00BB55EF"/>
    <w:rsid w:val="00BB5F69"/>
    <w:rsid w:val="00BB6E9F"/>
    <w:rsid w:val="00BC10C2"/>
    <w:rsid w:val="00BC1D25"/>
    <w:rsid w:val="00BC233D"/>
    <w:rsid w:val="00BC34C4"/>
    <w:rsid w:val="00BC36A4"/>
    <w:rsid w:val="00BC37AF"/>
    <w:rsid w:val="00BC4B8D"/>
    <w:rsid w:val="00BC586C"/>
    <w:rsid w:val="00BC6693"/>
    <w:rsid w:val="00BC77CA"/>
    <w:rsid w:val="00BC79C8"/>
    <w:rsid w:val="00BC7F5B"/>
    <w:rsid w:val="00BC7F87"/>
    <w:rsid w:val="00BD01B9"/>
    <w:rsid w:val="00BD01E9"/>
    <w:rsid w:val="00BD09A5"/>
    <w:rsid w:val="00BD3FA4"/>
    <w:rsid w:val="00BD4AF0"/>
    <w:rsid w:val="00BD4F09"/>
    <w:rsid w:val="00BD50A9"/>
    <w:rsid w:val="00BD561F"/>
    <w:rsid w:val="00BD75B8"/>
    <w:rsid w:val="00BE0300"/>
    <w:rsid w:val="00BE1326"/>
    <w:rsid w:val="00BE2CB1"/>
    <w:rsid w:val="00BE3AF6"/>
    <w:rsid w:val="00BE3BB5"/>
    <w:rsid w:val="00BE41CE"/>
    <w:rsid w:val="00BE48D8"/>
    <w:rsid w:val="00BE51DB"/>
    <w:rsid w:val="00BE53E0"/>
    <w:rsid w:val="00BF1D32"/>
    <w:rsid w:val="00BF2790"/>
    <w:rsid w:val="00BF2916"/>
    <w:rsid w:val="00BF2A59"/>
    <w:rsid w:val="00BF2BA0"/>
    <w:rsid w:val="00BF2F5D"/>
    <w:rsid w:val="00BF48A6"/>
    <w:rsid w:val="00BF4A10"/>
    <w:rsid w:val="00BF6868"/>
    <w:rsid w:val="00BF7701"/>
    <w:rsid w:val="00BF776C"/>
    <w:rsid w:val="00C001C2"/>
    <w:rsid w:val="00C00316"/>
    <w:rsid w:val="00C00738"/>
    <w:rsid w:val="00C01B25"/>
    <w:rsid w:val="00C02533"/>
    <w:rsid w:val="00C02807"/>
    <w:rsid w:val="00C03EF9"/>
    <w:rsid w:val="00C04A83"/>
    <w:rsid w:val="00C0543F"/>
    <w:rsid w:val="00C07381"/>
    <w:rsid w:val="00C107EA"/>
    <w:rsid w:val="00C10910"/>
    <w:rsid w:val="00C10DE9"/>
    <w:rsid w:val="00C11582"/>
    <w:rsid w:val="00C11C0A"/>
    <w:rsid w:val="00C12C1E"/>
    <w:rsid w:val="00C136F3"/>
    <w:rsid w:val="00C13A1D"/>
    <w:rsid w:val="00C16C18"/>
    <w:rsid w:val="00C16DA9"/>
    <w:rsid w:val="00C16EB9"/>
    <w:rsid w:val="00C1754C"/>
    <w:rsid w:val="00C17665"/>
    <w:rsid w:val="00C17FDA"/>
    <w:rsid w:val="00C2101B"/>
    <w:rsid w:val="00C21C70"/>
    <w:rsid w:val="00C242EC"/>
    <w:rsid w:val="00C25757"/>
    <w:rsid w:val="00C25EA2"/>
    <w:rsid w:val="00C27684"/>
    <w:rsid w:val="00C278CE"/>
    <w:rsid w:val="00C27EC5"/>
    <w:rsid w:val="00C31A2B"/>
    <w:rsid w:val="00C35240"/>
    <w:rsid w:val="00C35412"/>
    <w:rsid w:val="00C3728A"/>
    <w:rsid w:val="00C40481"/>
    <w:rsid w:val="00C4092A"/>
    <w:rsid w:val="00C40A60"/>
    <w:rsid w:val="00C42E83"/>
    <w:rsid w:val="00C433E0"/>
    <w:rsid w:val="00C43736"/>
    <w:rsid w:val="00C4395E"/>
    <w:rsid w:val="00C44791"/>
    <w:rsid w:val="00C447C7"/>
    <w:rsid w:val="00C44F17"/>
    <w:rsid w:val="00C46034"/>
    <w:rsid w:val="00C46289"/>
    <w:rsid w:val="00C472A7"/>
    <w:rsid w:val="00C47686"/>
    <w:rsid w:val="00C47704"/>
    <w:rsid w:val="00C47ACD"/>
    <w:rsid w:val="00C5122B"/>
    <w:rsid w:val="00C51A7C"/>
    <w:rsid w:val="00C52B82"/>
    <w:rsid w:val="00C530C8"/>
    <w:rsid w:val="00C531DC"/>
    <w:rsid w:val="00C56174"/>
    <w:rsid w:val="00C566EB"/>
    <w:rsid w:val="00C56C0D"/>
    <w:rsid w:val="00C600EE"/>
    <w:rsid w:val="00C60A86"/>
    <w:rsid w:val="00C61042"/>
    <w:rsid w:val="00C615B4"/>
    <w:rsid w:val="00C61E00"/>
    <w:rsid w:val="00C62548"/>
    <w:rsid w:val="00C64591"/>
    <w:rsid w:val="00C65957"/>
    <w:rsid w:val="00C662CA"/>
    <w:rsid w:val="00C671C5"/>
    <w:rsid w:val="00C67D22"/>
    <w:rsid w:val="00C7028D"/>
    <w:rsid w:val="00C70690"/>
    <w:rsid w:val="00C718F9"/>
    <w:rsid w:val="00C71F2F"/>
    <w:rsid w:val="00C724C3"/>
    <w:rsid w:val="00C7327C"/>
    <w:rsid w:val="00C734B1"/>
    <w:rsid w:val="00C74C0F"/>
    <w:rsid w:val="00C75329"/>
    <w:rsid w:val="00C753A7"/>
    <w:rsid w:val="00C755CF"/>
    <w:rsid w:val="00C75658"/>
    <w:rsid w:val="00C7780E"/>
    <w:rsid w:val="00C80B4A"/>
    <w:rsid w:val="00C80CC5"/>
    <w:rsid w:val="00C82A84"/>
    <w:rsid w:val="00C82F35"/>
    <w:rsid w:val="00C834EF"/>
    <w:rsid w:val="00C83BF8"/>
    <w:rsid w:val="00C84A96"/>
    <w:rsid w:val="00C8692F"/>
    <w:rsid w:val="00C87E47"/>
    <w:rsid w:val="00C90A82"/>
    <w:rsid w:val="00C90A88"/>
    <w:rsid w:val="00C91FEC"/>
    <w:rsid w:val="00C92418"/>
    <w:rsid w:val="00C926E2"/>
    <w:rsid w:val="00C950B0"/>
    <w:rsid w:val="00C956E0"/>
    <w:rsid w:val="00C957FD"/>
    <w:rsid w:val="00C9684F"/>
    <w:rsid w:val="00C96907"/>
    <w:rsid w:val="00C96B98"/>
    <w:rsid w:val="00CA170C"/>
    <w:rsid w:val="00CA1B74"/>
    <w:rsid w:val="00CA2470"/>
    <w:rsid w:val="00CA4B9C"/>
    <w:rsid w:val="00CA678E"/>
    <w:rsid w:val="00CA6CAE"/>
    <w:rsid w:val="00CB2B84"/>
    <w:rsid w:val="00CB2FD7"/>
    <w:rsid w:val="00CB3FFC"/>
    <w:rsid w:val="00CB44D3"/>
    <w:rsid w:val="00CB6124"/>
    <w:rsid w:val="00CC02B0"/>
    <w:rsid w:val="00CC02BE"/>
    <w:rsid w:val="00CC09C4"/>
    <w:rsid w:val="00CC1B90"/>
    <w:rsid w:val="00CC326A"/>
    <w:rsid w:val="00CC3DC6"/>
    <w:rsid w:val="00CC41B2"/>
    <w:rsid w:val="00CC4B6E"/>
    <w:rsid w:val="00CC504E"/>
    <w:rsid w:val="00CC7C84"/>
    <w:rsid w:val="00CD11D4"/>
    <w:rsid w:val="00CD23C4"/>
    <w:rsid w:val="00CD29B2"/>
    <w:rsid w:val="00CD2C0F"/>
    <w:rsid w:val="00CD3582"/>
    <w:rsid w:val="00CD3A27"/>
    <w:rsid w:val="00CD5190"/>
    <w:rsid w:val="00CD551E"/>
    <w:rsid w:val="00CD6916"/>
    <w:rsid w:val="00CD69B8"/>
    <w:rsid w:val="00CD6EE8"/>
    <w:rsid w:val="00CD721E"/>
    <w:rsid w:val="00CD7542"/>
    <w:rsid w:val="00CD79C7"/>
    <w:rsid w:val="00CD7CF7"/>
    <w:rsid w:val="00CE0B6D"/>
    <w:rsid w:val="00CE1524"/>
    <w:rsid w:val="00CE24ED"/>
    <w:rsid w:val="00CE37C4"/>
    <w:rsid w:val="00CE5A5A"/>
    <w:rsid w:val="00CE7B1A"/>
    <w:rsid w:val="00CF08D8"/>
    <w:rsid w:val="00CF1AB5"/>
    <w:rsid w:val="00CF25BB"/>
    <w:rsid w:val="00CF28FF"/>
    <w:rsid w:val="00CF32F1"/>
    <w:rsid w:val="00CF3FD1"/>
    <w:rsid w:val="00CF45C4"/>
    <w:rsid w:val="00CF712F"/>
    <w:rsid w:val="00D01961"/>
    <w:rsid w:val="00D025BC"/>
    <w:rsid w:val="00D02871"/>
    <w:rsid w:val="00D0321F"/>
    <w:rsid w:val="00D05263"/>
    <w:rsid w:val="00D0583C"/>
    <w:rsid w:val="00D06927"/>
    <w:rsid w:val="00D06A77"/>
    <w:rsid w:val="00D072E0"/>
    <w:rsid w:val="00D07A22"/>
    <w:rsid w:val="00D10696"/>
    <w:rsid w:val="00D110B5"/>
    <w:rsid w:val="00D110DE"/>
    <w:rsid w:val="00D128D4"/>
    <w:rsid w:val="00D136B0"/>
    <w:rsid w:val="00D13ED5"/>
    <w:rsid w:val="00D142E8"/>
    <w:rsid w:val="00D15BED"/>
    <w:rsid w:val="00D16B5F"/>
    <w:rsid w:val="00D20577"/>
    <w:rsid w:val="00D20A6D"/>
    <w:rsid w:val="00D214D1"/>
    <w:rsid w:val="00D2155A"/>
    <w:rsid w:val="00D22813"/>
    <w:rsid w:val="00D249A4"/>
    <w:rsid w:val="00D25253"/>
    <w:rsid w:val="00D26BC5"/>
    <w:rsid w:val="00D27193"/>
    <w:rsid w:val="00D27551"/>
    <w:rsid w:val="00D27D7B"/>
    <w:rsid w:val="00D300AB"/>
    <w:rsid w:val="00D307BF"/>
    <w:rsid w:val="00D31420"/>
    <w:rsid w:val="00D3167B"/>
    <w:rsid w:val="00D33D24"/>
    <w:rsid w:val="00D35051"/>
    <w:rsid w:val="00D379AE"/>
    <w:rsid w:val="00D40AC7"/>
    <w:rsid w:val="00D410F8"/>
    <w:rsid w:val="00D41BD5"/>
    <w:rsid w:val="00D426E6"/>
    <w:rsid w:val="00D42AF2"/>
    <w:rsid w:val="00D44194"/>
    <w:rsid w:val="00D466BB"/>
    <w:rsid w:val="00D4672B"/>
    <w:rsid w:val="00D47AD0"/>
    <w:rsid w:val="00D5044E"/>
    <w:rsid w:val="00D50B40"/>
    <w:rsid w:val="00D50F04"/>
    <w:rsid w:val="00D50F93"/>
    <w:rsid w:val="00D51D9E"/>
    <w:rsid w:val="00D534E2"/>
    <w:rsid w:val="00D53F18"/>
    <w:rsid w:val="00D54180"/>
    <w:rsid w:val="00D55B65"/>
    <w:rsid w:val="00D571FF"/>
    <w:rsid w:val="00D572D7"/>
    <w:rsid w:val="00D57A5F"/>
    <w:rsid w:val="00D6194E"/>
    <w:rsid w:val="00D61E5A"/>
    <w:rsid w:val="00D63F66"/>
    <w:rsid w:val="00D64AD7"/>
    <w:rsid w:val="00D650D6"/>
    <w:rsid w:val="00D654FE"/>
    <w:rsid w:val="00D6597B"/>
    <w:rsid w:val="00D66059"/>
    <w:rsid w:val="00D6615C"/>
    <w:rsid w:val="00D661AF"/>
    <w:rsid w:val="00D6677C"/>
    <w:rsid w:val="00D66800"/>
    <w:rsid w:val="00D66CF2"/>
    <w:rsid w:val="00D709F9"/>
    <w:rsid w:val="00D718CA"/>
    <w:rsid w:val="00D724C5"/>
    <w:rsid w:val="00D741B1"/>
    <w:rsid w:val="00D7494C"/>
    <w:rsid w:val="00D818EC"/>
    <w:rsid w:val="00D8190B"/>
    <w:rsid w:val="00D82509"/>
    <w:rsid w:val="00D8340E"/>
    <w:rsid w:val="00D83642"/>
    <w:rsid w:val="00D84D6B"/>
    <w:rsid w:val="00D8646E"/>
    <w:rsid w:val="00D868D2"/>
    <w:rsid w:val="00D87DC8"/>
    <w:rsid w:val="00D90287"/>
    <w:rsid w:val="00D9192F"/>
    <w:rsid w:val="00D93158"/>
    <w:rsid w:val="00D93477"/>
    <w:rsid w:val="00D9351C"/>
    <w:rsid w:val="00D9383C"/>
    <w:rsid w:val="00D93B68"/>
    <w:rsid w:val="00D93C8B"/>
    <w:rsid w:val="00D94D5F"/>
    <w:rsid w:val="00D96E34"/>
    <w:rsid w:val="00D976C5"/>
    <w:rsid w:val="00D9790A"/>
    <w:rsid w:val="00DA1D85"/>
    <w:rsid w:val="00DA28E2"/>
    <w:rsid w:val="00DA470E"/>
    <w:rsid w:val="00DA4B23"/>
    <w:rsid w:val="00DA51F1"/>
    <w:rsid w:val="00DA6746"/>
    <w:rsid w:val="00DA71C9"/>
    <w:rsid w:val="00DB11A0"/>
    <w:rsid w:val="00DB1918"/>
    <w:rsid w:val="00DB20AE"/>
    <w:rsid w:val="00DB23A5"/>
    <w:rsid w:val="00DB299D"/>
    <w:rsid w:val="00DB319F"/>
    <w:rsid w:val="00DB558C"/>
    <w:rsid w:val="00DB67DF"/>
    <w:rsid w:val="00DC0485"/>
    <w:rsid w:val="00DC0F82"/>
    <w:rsid w:val="00DC1A4E"/>
    <w:rsid w:val="00DC2584"/>
    <w:rsid w:val="00DC38B3"/>
    <w:rsid w:val="00DC6128"/>
    <w:rsid w:val="00DC6400"/>
    <w:rsid w:val="00DC74BE"/>
    <w:rsid w:val="00DC74F4"/>
    <w:rsid w:val="00DC7B32"/>
    <w:rsid w:val="00DD0325"/>
    <w:rsid w:val="00DD1066"/>
    <w:rsid w:val="00DD1170"/>
    <w:rsid w:val="00DD1572"/>
    <w:rsid w:val="00DD2355"/>
    <w:rsid w:val="00DD246A"/>
    <w:rsid w:val="00DD355B"/>
    <w:rsid w:val="00DD3FE8"/>
    <w:rsid w:val="00DD4320"/>
    <w:rsid w:val="00DD52EB"/>
    <w:rsid w:val="00DD5A99"/>
    <w:rsid w:val="00DD6B3A"/>
    <w:rsid w:val="00DD76BD"/>
    <w:rsid w:val="00DD7B3C"/>
    <w:rsid w:val="00DE0ECD"/>
    <w:rsid w:val="00DE1E5B"/>
    <w:rsid w:val="00DE264C"/>
    <w:rsid w:val="00DE274C"/>
    <w:rsid w:val="00DE2DFA"/>
    <w:rsid w:val="00DE36F8"/>
    <w:rsid w:val="00DE43FF"/>
    <w:rsid w:val="00DE5FB5"/>
    <w:rsid w:val="00DE76B5"/>
    <w:rsid w:val="00DF08E5"/>
    <w:rsid w:val="00DF1E6C"/>
    <w:rsid w:val="00DF2581"/>
    <w:rsid w:val="00DF3F85"/>
    <w:rsid w:val="00DF4A32"/>
    <w:rsid w:val="00DF4F3F"/>
    <w:rsid w:val="00DF648C"/>
    <w:rsid w:val="00DF74B9"/>
    <w:rsid w:val="00DF7CA6"/>
    <w:rsid w:val="00E007C4"/>
    <w:rsid w:val="00E020D1"/>
    <w:rsid w:val="00E03C6E"/>
    <w:rsid w:val="00E04762"/>
    <w:rsid w:val="00E11001"/>
    <w:rsid w:val="00E11622"/>
    <w:rsid w:val="00E12245"/>
    <w:rsid w:val="00E12454"/>
    <w:rsid w:val="00E125BE"/>
    <w:rsid w:val="00E12D4E"/>
    <w:rsid w:val="00E13FEF"/>
    <w:rsid w:val="00E14161"/>
    <w:rsid w:val="00E1455A"/>
    <w:rsid w:val="00E14CF2"/>
    <w:rsid w:val="00E17918"/>
    <w:rsid w:val="00E17E71"/>
    <w:rsid w:val="00E20187"/>
    <w:rsid w:val="00E205C7"/>
    <w:rsid w:val="00E208B6"/>
    <w:rsid w:val="00E21958"/>
    <w:rsid w:val="00E220F4"/>
    <w:rsid w:val="00E225E1"/>
    <w:rsid w:val="00E232DC"/>
    <w:rsid w:val="00E245D9"/>
    <w:rsid w:val="00E2666C"/>
    <w:rsid w:val="00E2686C"/>
    <w:rsid w:val="00E273B1"/>
    <w:rsid w:val="00E27508"/>
    <w:rsid w:val="00E27803"/>
    <w:rsid w:val="00E27B02"/>
    <w:rsid w:val="00E27ED4"/>
    <w:rsid w:val="00E30C95"/>
    <w:rsid w:val="00E319B6"/>
    <w:rsid w:val="00E3216D"/>
    <w:rsid w:val="00E32F17"/>
    <w:rsid w:val="00E333D7"/>
    <w:rsid w:val="00E336E9"/>
    <w:rsid w:val="00E33EBB"/>
    <w:rsid w:val="00E345D8"/>
    <w:rsid w:val="00E36F12"/>
    <w:rsid w:val="00E37EE3"/>
    <w:rsid w:val="00E42167"/>
    <w:rsid w:val="00E423C6"/>
    <w:rsid w:val="00E42410"/>
    <w:rsid w:val="00E42854"/>
    <w:rsid w:val="00E42D09"/>
    <w:rsid w:val="00E430EE"/>
    <w:rsid w:val="00E44ECA"/>
    <w:rsid w:val="00E467BC"/>
    <w:rsid w:val="00E470B0"/>
    <w:rsid w:val="00E47FA0"/>
    <w:rsid w:val="00E507E5"/>
    <w:rsid w:val="00E50D5D"/>
    <w:rsid w:val="00E51D0D"/>
    <w:rsid w:val="00E52016"/>
    <w:rsid w:val="00E5337B"/>
    <w:rsid w:val="00E53381"/>
    <w:rsid w:val="00E543A2"/>
    <w:rsid w:val="00E551B4"/>
    <w:rsid w:val="00E552DE"/>
    <w:rsid w:val="00E56275"/>
    <w:rsid w:val="00E569E2"/>
    <w:rsid w:val="00E56E00"/>
    <w:rsid w:val="00E57047"/>
    <w:rsid w:val="00E62AF2"/>
    <w:rsid w:val="00E63603"/>
    <w:rsid w:val="00E643BB"/>
    <w:rsid w:val="00E64867"/>
    <w:rsid w:val="00E64F5C"/>
    <w:rsid w:val="00E66D30"/>
    <w:rsid w:val="00E67E3B"/>
    <w:rsid w:val="00E71A95"/>
    <w:rsid w:val="00E723C0"/>
    <w:rsid w:val="00E73AAD"/>
    <w:rsid w:val="00E745A3"/>
    <w:rsid w:val="00E74707"/>
    <w:rsid w:val="00E75AB0"/>
    <w:rsid w:val="00E75BB1"/>
    <w:rsid w:val="00E80311"/>
    <w:rsid w:val="00E81ADB"/>
    <w:rsid w:val="00E83AB7"/>
    <w:rsid w:val="00E83B9D"/>
    <w:rsid w:val="00E860A4"/>
    <w:rsid w:val="00E87D62"/>
    <w:rsid w:val="00E90151"/>
    <w:rsid w:val="00E91046"/>
    <w:rsid w:val="00E91145"/>
    <w:rsid w:val="00E91C90"/>
    <w:rsid w:val="00E92DAF"/>
    <w:rsid w:val="00E94970"/>
    <w:rsid w:val="00E95237"/>
    <w:rsid w:val="00E969A2"/>
    <w:rsid w:val="00E96FF8"/>
    <w:rsid w:val="00E97AF4"/>
    <w:rsid w:val="00EA1B68"/>
    <w:rsid w:val="00EA3C3A"/>
    <w:rsid w:val="00EA4154"/>
    <w:rsid w:val="00EA6A51"/>
    <w:rsid w:val="00EA7225"/>
    <w:rsid w:val="00EA75AE"/>
    <w:rsid w:val="00EB0305"/>
    <w:rsid w:val="00EB0D33"/>
    <w:rsid w:val="00EB227F"/>
    <w:rsid w:val="00EB26CA"/>
    <w:rsid w:val="00EB26F1"/>
    <w:rsid w:val="00EB433C"/>
    <w:rsid w:val="00EB4E64"/>
    <w:rsid w:val="00EB614E"/>
    <w:rsid w:val="00EB6265"/>
    <w:rsid w:val="00EB6359"/>
    <w:rsid w:val="00EB6964"/>
    <w:rsid w:val="00EB7232"/>
    <w:rsid w:val="00EC011E"/>
    <w:rsid w:val="00EC0FCA"/>
    <w:rsid w:val="00EC25DB"/>
    <w:rsid w:val="00EC290F"/>
    <w:rsid w:val="00EC3F36"/>
    <w:rsid w:val="00EC404B"/>
    <w:rsid w:val="00EC47F4"/>
    <w:rsid w:val="00EC4D8F"/>
    <w:rsid w:val="00EC5645"/>
    <w:rsid w:val="00EC5A3E"/>
    <w:rsid w:val="00EC604D"/>
    <w:rsid w:val="00EC7A1E"/>
    <w:rsid w:val="00ED0A6F"/>
    <w:rsid w:val="00ED260D"/>
    <w:rsid w:val="00ED339B"/>
    <w:rsid w:val="00ED3572"/>
    <w:rsid w:val="00ED50D8"/>
    <w:rsid w:val="00ED535E"/>
    <w:rsid w:val="00ED7353"/>
    <w:rsid w:val="00EE01BB"/>
    <w:rsid w:val="00EE0B3A"/>
    <w:rsid w:val="00EE1282"/>
    <w:rsid w:val="00EE1D83"/>
    <w:rsid w:val="00EE1F5B"/>
    <w:rsid w:val="00EE201E"/>
    <w:rsid w:val="00EE2679"/>
    <w:rsid w:val="00EE2DE0"/>
    <w:rsid w:val="00EE4266"/>
    <w:rsid w:val="00EE5B1D"/>
    <w:rsid w:val="00EE5B5E"/>
    <w:rsid w:val="00EE5C10"/>
    <w:rsid w:val="00EE6121"/>
    <w:rsid w:val="00EE6C12"/>
    <w:rsid w:val="00EE6EB6"/>
    <w:rsid w:val="00EF0490"/>
    <w:rsid w:val="00EF0E7E"/>
    <w:rsid w:val="00EF0F74"/>
    <w:rsid w:val="00EF19A7"/>
    <w:rsid w:val="00EF1B7F"/>
    <w:rsid w:val="00EF1EF5"/>
    <w:rsid w:val="00EF541A"/>
    <w:rsid w:val="00EF5567"/>
    <w:rsid w:val="00EF5AF7"/>
    <w:rsid w:val="00EF64E5"/>
    <w:rsid w:val="00EF6C6A"/>
    <w:rsid w:val="00F01BE7"/>
    <w:rsid w:val="00F02AA1"/>
    <w:rsid w:val="00F036A3"/>
    <w:rsid w:val="00F03EFA"/>
    <w:rsid w:val="00F03FE7"/>
    <w:rsid w:val="00F046FD"/>
    <w:rsid w:val="00F05655"/>
    <w:rsid w:val="00F06539"/>
    <w:rsid w:val="00F06694"/>
    <w:rsid w:val="00F06961"/>
    <w:rsid w:val="00F07A9A"/>
    <w:rsid w:val="00F10308"/>
    <w:rsid w:val="00F109F4"/>
    <w:rsid w:val="00F10A65"/>
    <w:rsid w:val="00F10D0E"/>
    <w:rsid w:val="00F1130E"/>
    <w:rsid w:val="00F118F6"/>
    <w:rsid w:val="00F11F97"/>
    <w:rsid w:val="00F12546"/>
    <w:rsid w:val="00F13493"/>
    <w:rsid w:val="00F13CF7"/>
    <w:rsid w:val="00F151F4"/>
    <w:rsid w:val="00F16601"/>
    <w:rsid w:val="00F1770C"/>
    <w:rsid w:val="00F211CB"/>
    <w:rsid w:val="00F21699"/>
    <w:rsid w:val="00F22593"/>
    <w:rsid w:val="00F2271D"/>
    <w:rsid w:val="00F22A53"/>
    <w:rsid w:val="00F22C62"/>
    <w:rsid w:val="00F23405"/>
    <w:rsid w:val="00F2479E"/>
    <w:rsid w:val="00F253F7"/>
    <w:rsid w:val="00F25DD1"/>
    <w:rsid w:val="00F26538"/>
    <w:rsid w:val="00F26AE2"/>
    <w:rsid w:val="00F27472"/>
    <w:rsid w:val="00F27BC1"/>
    <w:rsid w:val="00F30FBC"/>
    <w:rsid w:val="00F32379"/>
    <w:rsid w:val="00F32C87"/>
    <w:rsid w:val="00F32FA5"/>
    <w:rsid w:val="00F33B3E"/>
    <w:rsid w:val="00F342AF"/>
    <w:rsid w:val="00F3433E"/>
    <w:rsid w:val="00F34BC1"/>
    <w:rsid w:val="00F34E37"/>
    <w:rsid w:val="00F351F9"/>
    <w:rsid w:val="00F36958"/>
    <w:rsid w:val="00F369D9"/>
    <w:rsid w:val="00F36F7D"/>
    <w:rsid w:val="00F36F9E"/>
    <w:rsid w:val="00F41200"/>
    <w:rsid w:val="00F42136"/>
    <w:rsid w:val="00F42BC1"/>
    <w:rsid w:val="00F430B1"/>
    <w:rsid w:val="00F46A07"/>
    <w:rsid w:val="00F473D0"/>
    <w:rsid w:val="00F51389"/>
    <w:rsid w:val="00F525EC"/>
    <w:rsid w:val="00F53355"/>
    <w:rsid w:val="00F53B0E"/>
    <w:rsid w:val="00F56A7A"/>
    <w:rsid w:val="00F571A3"/>
    <w:rsid w:val="00F60F47"/>
    <w:rsid w:val="00F62363"/>
    <w:rsid w:val="00F63F21"/>
    <w:rsid w:val="00F654DC"/>
    <w:rsid w:val="00F715C4"/>
    <w:rsid w:val="00F71616"/>
    <w:rsid w:val="00F716D5"/>
    <w:rsid w:val="00F72698"/>
    <w:rsid w:val="00F72BFA"/>
    <w:rsid w:val="00F741D4"/>
    <w:rsid w:val="00F74928"/>
    <w:rsid w:val="00F75283"/>
    <w:rsid w:val="00F75A3B"/>
    <w:rsid w:val="00F77C37"/>
    <w:rsid w:val="00F77D4A"/>
    <w:rsid w:val="00F77FC6"/>
    <w:rsid w:val="00F80BB9"/>
    <w:rsid w:val="00F92CE5"/>
    <w:rsid w:val="00F945CF"/>
    <w:rsid w:val="00F956EC"/>
    <w:rsid w:val="00F970D4"/>
    <w:rsid w:val="00FA10E0"/>
    <w:rsid w:val="00FA21CC"/>
    <w:rsid w:val="00FA268F"/>
    <w:rsid w:val="00FA2D1D"/>
    <w:rsid w:val="00FA348C"/>
    <w:rsid w:val="00FA4077"/>
    <w:rsid w:val="00FA5348"/>
    <w:rsid w:val="00FA57A2"/>
    <w:rsid w:val="00FA6560"/>
    <w:rsid w:val="00FA6B5B"/>
    <w:rsid w:val="00FA6BDC"/>
    <w:rsid w:val="00FA6C80"/>
    <w:rsid w:val="00FB08A6"/>
    <w:rsid w:val="00FB0BF7"/>
    <w:rsid w:val="00FB0DBC"/>
    <w:rsid w:val="00FB25B5"/>
    <w:rsid w:val="00FB2E15"/>
    <w:rsid w:val="00FB3B3A"/>
    <w:rsid w:val="00FB4B9B"/>
    <w:rsid w:val="00FB51F0"/>
    <w:rsid w:val="00FB5491"/>
    <w:rsid w:val="00FB6B4E"/>
    <w:rsid w:val="00FB7306"/>
    <w:rsid w:val="00FB75F5"/>
    <w:rsid w:val="00FC003F"/>
    <w:rsid w:val="00FC0560"/>
    <w:rsid w:val="00FC083A"/>
    <w:rsid w:val="00FC091D"/>
    <w:rsid w:val="00FC0FAE"/>
    <w:rsid w:val="00FC11C6"/>
    <w:rsid w:val="00FC14F2"/>
    <w:rsid w:val="00FC191D"/>
    <w:rsid w:val="00FC7DC2"/>
    <w:rsid w:val="00FD0F3C"/>
    <w:rsid w:val="00FD1524"/>
    <w:rsid w:val="00FD17B5"/>
    <w:rsid w:val="00FD23BD"/>
    <w:rsid w:val="00FD763E"/>
    <w:rsid w:val="00FE055B"/>
    <w:rsid w:val="00FE1B5F"/>
    <w:rsid w:val="00FE2820"/>
    <w:rsid w:val="00FE2D9D"/>
    <w:rsid w:val="00FE4E6A"/>
    <w:rsid w:val="00FE559B"/>
    <w:rsid w:val="00FE5AD3"/>
    <w:rsid w:val="00FE6714"/>
    <w:rsid w:val="00FE68A0"/>
    <w:rsid w:val="00FE7C7E"/>
    <w:rsid w:val="00FF0452"/>
    <w:rsid w:val="00FF09A3"/>
    <w:rsid w:val="00FF10F2"/>
    <w:rsid w:val="00FF1718"/>
    <w:rsid w:val="00FF483F"/>
    <w:rsid w:val="00FF4DA0"/>
    <w:rsid w:val="00FF5599"/>
    <w:rsid w:val="00FF69A7"/>
    <w:rsid w:val="00FF734B"/>
    <w:rsid w:val="00FF7718"/>
    <w:rsid w:val="00FF778F"/>
    <w:rsid w:val="016FAD81"/>
    <w:rsid w:val="01DBADA5"/>
    <w:rsid w:val="052CA89A"/>
    <w:rsid w:val="05635A0A"/>
    <w:rsid w:val="0601FDD8"/>
    <w:rsid w:val="0A7819F8"/>
    <w:rsid w:val="0B4DD3F0"/>
    <w:rsid w:val="0B7B666A"/>
    <w:rsid w:val="0BB7ACC9"/>
    <w:rsid w:val="0C029805"/>
    <w:rsid w:val="0E7E5634"/>
    <w:rsid w:val="127F1248"/>
    <w:rsid w:val="158A15F9"/>
    <w:rsid w:val="1678F690"/>
    <w:rsid w:val="1C4977F7"/>
    <w:rsid w:val="1ED69894"/>
    <w:rsid w:val="1FB34D21"/>
    <w:rsid w:val="2204B839"/>
    <w:rsid w:val="235AD154"/>
    <w:rsid w:val="243F80C8"/>
    <w:rsid w:val="24783DBD"/>
    <w:rsid w:val="2B5AFF46"/>
    <w:rsid w:val="2C9BD61B"/>
    <w:rsid w:val="2D21909B"/>
    <w:rsid w:val="2D261B49"/>
    <w:rsid w:val="2EAFF5DE"/>
    <w:rsid w:val="3026228F"/>
    <w:rsid w:val="313D9868"/>
    <w:rsid w:val="3156259D"/>
    <w:rsid w:val="3237B09F"/>
    <w:rsid w:val="326D8F46"/>
    <w:rsid w:val="3587FF45"/>
    <w:rsid w:val="36E5C923"/>
    <w:rsid w:val="41E429A5"/>
    <w:rsid w:val="4214A028"/>
    <w:rsid w:val="43877EAD"/>
    <w:rsid w:val="43951380"/>
    <w:rsid w:val="4482616D"/>
    <w:rsid w:val="468FC74A"/>
    <w:rsid w:val="4D9600E4"/>
    <w:rsid w:val="4E868C8F"/>
    <w:rsid w:val="4FAFB98A"/>
    <w:rsid w:val="541CB2F0"/>
    <w:rsid w:val="56777F7A"/>
    <w:rsid w:val="57571D78"/>
    <w:rsid w:val="5D1C5FC3"/>
    <w:rsid w:val="60905631"/>
    <w:rsid w:val="60B0DB15"/>
    <w:rsid w:val="6142028A"/>
    <w:rsid w:val="63494A1D"/>
    <w:rsid w:val="6A152BA6"/>
    <w:rsid w:val="6A4191B0"/>
    <w:rsid w:val="6E3C1120"/>
    <w:rsid w:val="6EC6F76D"/>
    <w:rsid w:val="719AEA38"/>
    <w:rsid w:val="7617B0DB"/>
    <w:rsid w:val="7BB33FF9"/>
    <w:rsid w:val="7CD149A4"/>
    <w:rsid w:val="7DFA5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14599"/>
  <w15:chartTrackingRefBased/>
  <w15:docId w15:val="{E7AF43D5-AF53-482F-81D6-411CC517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B0"/>
  </w:style>
  <w:style w:type="paragraph" w:styleId="Heading1">
    <w:name w:val="heading 1"/>
    <w:basedOn w:val="Normal"/>
    <w:link w:val="Heading1Char"/>
    <w:uiPriority w:val="9"/>
    <w:qFormat/>
    <w:rsid w:val="006A0EB4"/>
    <w:pPr>
      <w:widowControl w:val="0"/>
      <w:autoSpaceDE w:val="0"/>
      <w:autoSpaceDN w:val="0"/>
      <w:spacing w:after="0" w:line="240" w:lineRule="auto"/>
      <w:outlineLvl w:val="0"/>
    </w:pPr>
    <w:rPr>
      <w:rFonts w:ascii="Gotham Bold" w:eastAsia="Gotham Bold" w:hAnsi="Gotham Bold" w:cs="Gotham Bold"/>
      <w:b/>
      <w:bCs/>
      <w:sz w:val="24"/>
      <w:szCs w:val="24"/>
    </w:rPr>
  </w:style>
  <w:style w:type="paragraph" w:styleId="Heading2">
    <w:name w:val="heading 2"/>
    <w:basedOn w:val="Normal"/>
    <w:next w:val="Normal"/>
    <w:link w:val="Heading2Char"/>
    <w:uiPriority w:val="9"/>
    <w:semiHidden/>
    <w:unhideWhenUsed/>
    <w:qFormat/>
    <w:rsid w:val="008C074F"/>
    <w:pPr>
      <w:keepNext/>
      <w:keepLines/>
      <w:spacing w:before="40" w:after="0"/>
      <w:outlineLvl w:val="1"/>
    </w:pPr>
    <w:rPr>
      <w:rFonts w:asciiTheme="majorHAnsi" w:eastAsiaTheme="majorEastAsia" w:hAnsiTheme="majorHAnsi" w:cstheme="majorBidi"/>
      <w:color w:val="9E00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EB4"/>
  </w:style>
  <w:style w:type="paragraph" w:styleId="Footer">
    <w:name w:val="footer"/>
    <w:basedOn w:val="Normal"/>
    <w:link w:val="FooterChar"/>
    <w:uiPriority w:val="99"/>
    <w:unhideWhenUsed/>
    <w:rsid w:val="006A0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EB4"/>
  </w:style>
  <w:style w:type="character" w:customStyle="1" w:styleId="Heading1Char">
    <w:name w:val="Heading 1 Char"/>
    <w:basedOn w:val="DefaultParagraphFont"/>
    <w:link w:val="Heading1"/>
    <w:uiPriority w:val="9"/>
    <w:rsid w:val="006A0EB4"/>
    <w:rPr>
      <w:rFonts w:ascii="Gotham Bold" w:eastAsia="Gotham Bold" w:hAnsi="Gotham Bold" w:cs="Gotham Bold"/>
      <w:b/>
      <w:bCs/>
      <w:sz w:val="24"/>
      <w:szCs w:val="24"/>
    </w:rPr>
  </w:style>
  <w:style w:type="paragraph" w:styleId="ListParagraph">
    <w:name w:val="List Paragraph"/>
    <w:basedOn w:val="Normal"/>
    <w:link w:val="ListParagraphChar"/>
    <w:uiPriority w:val="34"/>
    <w:qFormat/>
    <w:rsid w:val="006A0EB4"/>
    <w:pPr>
      <w:widowControl w:val="0"/>
      <w:autoSpaceDE w:val="0"/>
      <w:autoSpaceDN w:val="0"/>
      <w:spacing w:after="0" w:line="240" w:lineRule="auto"/>
    </w:pPr>
    <w:rPr>
      <w:rFonts w:ascii="Gotham Book" w:eastAsia="Gotham Book" w:hAnsi="Gotham Book" w:cs="Gotham Book"/>
    </w:rPr>
  </w:style>
  <w:style w:type="character" w:customStyle="1" w:styleId="ListParagraphChar">
    <w:name w:val="List Paragraph Char"/>
    <w:basedOn w:val="DefaultParagraphFont"/>
    <w:link w:val="ListParagraph"/>
    <w:uiPriority w:val="34"/>
    <w:locked/>
    <w:rsid w:val="006A0EB4"/>
    <w:rPr>
      <w:rFonts w:ascii="Gotham Book" w:eastAsia="Gotham Book" w:hAnsi="Gotham Book" w:cs="Gotham Book"/>
    </w:rPr>
  </w:style>
  <w:style w:type="paragraph" w:customStyle="1" w:styleId="TableParagraph">
    <w:name w:val="Table Paragraph"/>
    <w:basedOn w:val="Normal"/>
    <w:uiPriority w:val="1"/>
    <w:qFormat/>
    <w:rsid w:val="00653798"/>
    <w:pPr>
      <w:widowControl w:val="0"/>
      <w:autoSpaceDE w:val="0"/>
      <w:autoSpaceDN w:val="0"/>
      <w:spacing w:after="0" w:line="240" w:lineRule="auto"/>
      <w:ind w:left="79"/>
    </w:pPr>
    <w:rPr>
      <w:rFonts w:ascii="Gotham Book" w:eastAsia="Gotham Book" w:hAnsi="Gotham Book" w:cs="Gotham Book"/>
    </w:rPr>
  </w:style>
  <w:style w:type="table" w:styleId="TableGrid">
    <w:name w:val="Table Grid"/>
    <w:basedOn w:val="TableNormal"/>
    <w:uiPriority w:val="39"/>
    <w:rsid w:val="0065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D3572"/>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1966C7"/>
    <w:rPr>
      <w:sz w:val="16"/>
      <w:szCs w:val="16"/>
    </w:rPr>
  </w:style>
  <w:style w:type="paragraph" w:styleId="CommentText">
    <w:name w:val="annotation text"/>
    <w:basedOn w:val="Normal"/>
    <w:link w:val="CommentTextChar"/>
    <w:uiPriority w:val="99"/>
    <w:unhideWhenUsed/>
    <w:rsid w:val="001966C7"/>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uiPriority w:val="99"/>
    <w:rsid w:val="001966C7"/>
    <w:rPr>
      <w:rFonts w:ascii="Times New Roman" w:eastAsia="Times New Roman" w:hAnsi="Times New Roman" w:cs="Times New Roman"/>
      <w:sz w:val="20"/>
      <w:szCs w:val="20"/>
      <w:lang w:val="en-CA"/>
    </w:rPr>
  </w:style>
  <w:style w:type="character" w:styleId="PageNumber">
    <w:name w:val="page number"/>
    <w:basedOn w:val="DefaultParagraphFont"/>
    <w:uiPriority w:val="99"/>
    <w:semiHidden/>
    <w:unhideWhenUsed/>
    <w:rsid w:val="00DA4B23"/>
  </w:style>
  <w:style w:type="paragraph" w:styleId="CommentSubject">
    <w:name w:val="annotation subject"/>
    <w:basedOn w:val="CommentText"/>
    <w:next w:val="CommentText"/>
    <w:link w:val="CommentSubjectChar"/>
    <w:uiPriority w:val="99"/>
    <w:semiHidden/>
    <w:unhideWhenUsed/>
    <w:rsid w:val="00CA1B74"/>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CA1B74"/>
    <w:rPr>
      <w:rFonts w:ascii="Times New Roman" w:eastAsia="Times New Roman" w:hAnsi="Times New Roman" w:cs="Times New Roman"/>
      <w:b/>
      <w:bCs/>
      <w:sz w:val="20"/>
      <w:szCs w:val="20"/>
      <w:lang w:val="en-CA"/>
    </w:rPr>
  </w:style>
  <w:style w:type="character" w:styleId="Hyperlink">
    <w:name w:val="Hyperlink"/>
    <w:basedOn w:val="DefaultParagraphFont"/>
    <w:uiPriority w:val="99"/>
    <w:unhideWhenUsed/>
    <w:rsid w:val="00020954"/>
    <w:rPr>
      <w:color w:val="0563C1" w:themeColor="hyperlink"/>
      <w:u w:val="single"/>
    </w:rPr>
  </w:style>
  <w:style w:type="character" w:styleId="UnresolvedMention">
    <w:name w:val="Unresolved Mention"/>
    <w:basedOn w:val="DefaultParagraphFont"/>
    <w:uiPriority w:val="99"/>
    <w:unhideWhenUsed/>
    <w:rsid w:val="00020954"/>
    <w:rPr>
      <w:color w:val="605E5C"/>
      <w:shd w:val="clear" w:color="auto" w:fill="E1DFDD"/>
    </w:rPr>
  </w:style>
  <w:style w:type="paragraph" w:styleId="Revision">
    <w:name w:val="Revision"/>
    <w:hidden/>
    <w:uiPriority w:val="99"/>
    <w:semiHidden/>
    <w:rsid w:val="00BE41CE"/>
    <w:pPr>
      <w:spacing w:after="0" w:line="240" w:lineRule="auto"/>
    </w:pPr>
  </w:style>
  <w:style w:type="character" w:styleId="Mention">
    <w:name w:val="Mention"/>
    <w:basedOn w:val="DefaultParagraphFont"/>
    <w:uiPriority w:val="99"/>
    <w:unhideWhenUsed/>
    <w:rsid w:val="00CD7542"/>
    <w:rPr>
      <w:color w:val="2B579A"/>
      <w:shd w:val="clear" w:color="auto" w:fill="E1DFDD"/>
    </w:rPr>
  </w:style>
  <w:style w:type="character" w:customStyle="1" w:styleId="A3">
    <w:name w:val="A3"/>
    <w:uiPriority w:val="99"/>
    <w:rsid w:val="004A34BD"/>
    <w:rPr>
      <w:rFonts w:cs="Gotham Book"/>
      <w:color w:val="221E1F"/>
      <w:sz w:val="16"/>
      <w:szCs w:val="16"/>
    </w:rPr>
  </w:style>
  <w:style w:type="character" w:styleId="FollowedHyperlink">
    <w:name w:val="FollowedHyperlink"/>
    <w:basedOn w:val="DefaultParagraphFont"/>
    <w:uiPriority w:val="99"/>
    <w:semiHidden/>
    <w:unhideWhenUsed/>
    <w:rsid w:val="00A84BBB"/>
    <w:rPr>
      <w:color w:val="954F72" w:themeColor="followedHyperlink"/>
      <w:u w:val="single"/>
    </w:rPr>
  </w:style>
  <w:style w:type="character" w:customStyle="1" w:styleId="cf01">
    <w:name w:val="cf01"/>
    <w:basedOn w:val="DefaultParagraphFont"/>
    <w:rsid w:val="00124EAC"/>
    <w:rPr>
      <w:rFonts w:ascii="Segoe UI" w:hAnsi="Segoe UI" w:cs="Segoe UI" w:hint="default"/>
      <w:sz w:val="18"/>
      <w:szCs w:val="18"/>
    </w:rPr>
  </w:style>
  <w:style w:type="character" w:customStyle="1" w:styleId="normaltextrun">
    <w:name w:val="normaltextrun"/>
    <w:basedOn w:val="DefaultParagraphFont"/>
    <w:rsid w:val="00955434"/>
  </w:style>
  <w:style w:type="character" w:customStyle="1" w:styleId="findhit">
    <w:name w:val="findhit"/>
    <w:basedOn w:val="DefaultParagraphFont"/>
    <w:rsid w:val="00955434"/>
  </w:style>
  <w:style w:type="character" w:customStyle="1" w:styleId="cf11">
    <w:name w:val="cf11"/>
    <w:basedOn w:val="DefaultParagraphFont"/>
    <w:rsid w:val="00213E08"/>
    <w:rPr>
      <w:rFonts w:ascii="Segoe UI" w:hAnsi="Segoe UI" w:cs="Segoe UI" w:hint="default"/>
      <w:color w:val="041726"/>
      <w:sz w:val="18"/>
      <w:szCs w:val="18"/>
    </w:rPr>
  </w:style>
  <w:style w:type="paragraph" w:customStyle="1" w:styleId="pf0">
    <w:name w:val="pf0"/>
    <w:basedOn w:val="Normal"/>
    <w:rsid w:val="00B85ED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ui-provider">
    <w:name w:val="ui-provider"/>
    <w:basedOn w:val="DefaultParagraphFont"/>
    <w:rsid w:val="00FB0DBC"/>
  </w:style>
  <w:style w:type="character" w:customStyle="1" w:styleId="Heading2Char">
    <w:name w:val="Heading 2 Char"/>
    <w:basedOn w:val="DefaultParagraphFont"/>
    <w:link w:val="Heading2"/>
    <w:uiPriority w:val="9"/>
    <w:semiHidden/>
    <w:rsid w:val="008C074F"/>
    <w:rPr>
      <w:rFonts w:asciiTheme="majorHAnsi" w:eastAsiaTheme="majorEastAsia" w:hAnsiTheme="majorHAnsi" w:cstheme="majorBidi"/>
      <w:color w:val="9E0000" w:themeColor="accent1" w:themeShade="BF"/>
      <w:sz w:val="26"/>
      <w:szCs w:val="26"/>
    </w:rPr>
  </w:style>
  <w:style w:type="paragraph" w:styleId="NormalWeb">
    <w:name w:val="Normal (Web)"/>
    <w:basedOn w:val="Normal"/>
    <w:uiPriority w:val="99"/>
    <w:unhideWhenUsed/>
    <w:rsid w:val="00EE1D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nowrap">
    <w:name w:val="text-nowrap"/>
    <w:basedOn w:val="DefaultParagraphFont"/>
    <w:rsid w:val="00F10A65"/>
  </w:style>
  <w:style w:type="character" w:customStyle="1" w:styleId="font-italic">
    <w:name w:val="font-italic"/>
    <w:basedOn w:val="DefaultParagraphFont"/>
    <w:rsid w:val="00F10A65"/>
  </w:style>
  <w:style w:type="character" w:customStyle="1" w:styleId="tel-no-color-change">
    <w:name w:val="tel-no-color-change"/>
    <w:basedOn w:val="DefaultParagraphFont"/>
    <w:rsid w:val="00F10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6407">
      <w:bodyDiv w:val="1"/>
      <w:marLeft w:val="0"/>
      <w:marRight w:val="0"/>
      <w:marTop w:val="0"/>
      <w:marBottom w:val="0"/>
      <w:divBdr>
        <w:top w:val="none" w:sz="0" w:space="0" w:color="auto"/>
        <w:left w:val="none" w:sz="0" w:space="0" w:color="auto"/>
        <w:bottom w:val="none" w:sz="0" w:space="0" w:color="auto"/>
        <w:right w:val="none" w:sz="0" w:space="0" w:color="auto"/>
      </w:divBdr>
    </w:div>
    <w:div w:id="179586413">
      <w:bodyDiv w:val="1"/>
      <w:marLeft w:val="0"/>
      <w:marRight w:val="0"/>
      <w:marTop w:val="0"/>
      <w:marBottom w:val="0"/>
      <w:divBdr>
        <w:top w:val="none" w:sz="0" w:space="0" w:color="auto"/>
        <w:left w:val="none" w:sz="0" w:space="0" w:color="auto"/>
        <w:bottom w:val="none" w:sz="0" w:space="0" w:color="auto"/>
        <w:right w:val="none" w:sz="0" w:space="0" w:color="auto"/>
      </w:divBdr>
    </w:div>
    <w:div w:id="315691594">
      <w:bodyDiv w:val="1"/>
      <w:marLeft w:val="0"/>
      <w:marRight w:val="0"/>
      <w:marTop w:val="0"/>
      <w:marBottom w:val="0"/>
      <w:divBdr>
        <w:top w:val="none" w:sz="0" w:space="0" w:color="auto"/>
        <w:left w:val="none" w:sz="0" w:space="0" w:color="auto"/>
        <w:bottom w:val="none" w:sz="0" w:space="0" w:color="auto"/>
        <w:right w:val="none" w:sz="0" w:space="0" w:color="auto"/>
      </w:divBdr>
    </w:div>
    <w:div w:id="694887440">
      <w:bodyDiv w:val="1"/>
      <w:marLeft w:val="0"/>
      <w:marRight w:val="0"/>
      <w:marTop w:val="0"/>
      <w:marBottom w:val="0"/>
      <w:divBdr>
        <w:top w:val="none" w:sz="0" w:space="0" w:color="auto"/>
        <w:left w:val="none" w:sz="0" w:space="0" w:color="auto"/>
        <w:bottom w:val="none" w:sz="0" w:space="0" w:color="auto"/>
        <w:right w:val="none" w:sz="0" w:space="0" w:color="auto"/>
      </w:divBdr>
    </w:div>
    <w:div w:id="704254011">
      <w:bodyDiv w:val="1"/>
      <w:marLeft w:val="0"/>
      <w:marRight w:val="0"/>
      <w:marTop w:val="0"/>
      <w:marBottom w:val="0"/>
      <w:divBdr>
        <w:top w:val="none" w:sz="0" w:space="0" w:color="auto"/>
        <w:left w:val="none" w:sz="0" w:space="0" w:color="auto"/>
        <w:bottom w:val="none" w:sz="0" w:space="0" w:color="auto"/>
        <w:right w:val="none" w:sz="0" w:space="0" w:color="auto"/>
      </w:divBdr>
    </w:div>
    <w:div w:id="789127684">
      <w:bodyDiv w:val="1"/>
      <w:marLeft w:val="0"/>
      <w:marRight w:val="0"/>
      <w:marTop w:val="0"/>
      <w:marBottom w:val="0"/>
      <w:divBdr>
        <w:top w:val="none" w:sz="0" w:space="0" w:color="auto"/>
        <w:left w:val="none" w:sz="0" w:space="0" w:color="auto"/>
        <w:bottom w:val="none" w:sz="0" w:space="0" w:color="auto"/>
        <w:right w:val="none" w:sz="0" w:space="0" w:color="auto"/>
      </w:divBdr>
      <w:divsChild>
        <w:div w:id="441803193">
          <w:marLeft w:val="547"/>
          <w:marRight w:val="0"/>
          <w:marTop w:val="0"/>
          <w:marBottom w:val="120"/>
          <w:divBdr>
            <w:top w:val="none" w:sz="0" w:space="0" w:color="auto"/>
            <w:left w:val="none" w:sz="0" w:space="0" w:color="auto"/>
            <w:bottom w:val="none" w:sz="0" w:space="0" w:color="auto"/>
            <w:right w:val="none" w:sz="0" w:space="0" w:color="auto"/>
          </w:divBdr>
        </w:div>
        <w:div w:id="300043778">
          <w:marLeft w:val="547"/>
          <w:marRight w:val="0"/>
          <w:marTop w:val="0"/>
          <w:marBottom w:val="120"/>
          <w:divBdr>
            <w:top w:val="none" w:sz="0" w:space="0" w:color="auto"/>
            <w:left w:val="none" w:sz="0" w:space="0" w:color="auto"/>
            <w:bottom w:val="none" w:sz="0" w:space="0" w:color="auto"/>
            <w:right w:val="none" w:sz="0" w:space="0" w:color="auto"/>
          </w:divBdr>
        </w:div>
      </w:divsChild>
    </w:div>
    <w:div w:id="938366295">
      <w:bodyDiv w:val="1"/>
      <w:marLeft w:val="0"/>
      <w:marRight w:val="0"/>
      <w:marTop w:val="0"/>
      <w:marBottom w:val="0"/>
      <w:divBdr>
        <w:top w:val="none" w:sz="0" w:space="0" w:color="auto"/>
        <w:left w:val="none" w:sz="0" w:space="0" w:color="auto"/>
        <w:bottom w:val="none" w:sz="0" w:space="0" w:color="auto"/>
        <w:right w:val="none" w:sz="0" w:space="0" w:color="auto"/>
      </w:divBdr>
      <w:divsChild>
        <w:div w:id="143139269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61631358">
      <w:bodyDiv w:val="1"/>
      <w:marLeft w:val="0"/>
      <w:marRight w:val="0"/>
      <w:marTop w:val="0"/>
      <w:marBottom w:val="0"/>
      <w:divBdr>
        <w:top w:val="none" w:sz="0" w:space="0" w:color="auto"/>
        <w:left w:val="none" w:sz="0" w:space="0" w:color="auto"/>
        <w:bottom w:val="none" w:sz="0" w:space="0" w:color="auto"/>
        <w:right w:val="none" w:sz="0" w:space="0" w:color="auto"/>
      </w:divBdr>
    </w:div>
    <w:div w:id="1089542961">
      <w:bodyDiv w:val="1"/>
      <w:marLeft w:val="0"/>
      <w:marRight w:val="0"/>
      <w:marTop w:val="0"/>
      <w:marBottom w:val="0"/>
      <w:divBdr>
        <w:top w:val="none" w:sz="0" w:space="0" w:color="auto"/>
        <w:left w:val="none" w:sz="0" w:space="0" w:color="auto"/>
        <w:bottom w:val="none" w:sz="0" w:space="0" w:color="auto"/>
        <w:right w:val="none" w:sz="0" w:space="0" w:color="auto"/>
      </w:divBdr>
    </w:div>
    <w:div w:id="1098141682">
      <w:bodyDiv w:val="1"/>
      <w:marLeft w:val="0"/>
      <w:marRight w:val="0"/>
      <w:marTop w:val="0"/>
      <w:marBottom w:val="0"/>
      <w:divBdr>
        <w:top w:val="none" w:sz="0" w:space="0" w:color="auto"/>
        <w:left w:val="none" w:sz="0" w:space="0" w:color="auto"/>
        <w:bottom w:val="none" w:sz="0" w:space="0" w:color="auto"/>
        <w:right w:val="none" w:sz="0" w:space="0" w:color="auto"/>
      </w:divBdr>
    </w:div>
    <w:div w:id="1169560659">
      <w:bodyDiv w:val="1"/>
      <w:marLeft w:val="0"/>
      <w:marRight w:val="0"/>
      <w:marTop w:val="0"/>
      <w:marBottom w:val="0"/>
      <w:divBdr>
        <w:top w:val="none" w:sz="0" w:space="0" w:color="auto"/>
        <w:left w:val="none" w:sz="0" w:space="0" w:color="auto"/>
        <w:bottom w:val="none" w:sz="0" w:space="0" w:color="auto"/>
        <w:right w:val="none" w:sz="0" w:space="0" w:color="auto"/>
      </w:divBdr>
    </w:div>
    <w:div w:id="1372729030">
      <w:bodyDiv w:val="1"/>
      <w:marLeft w:val="0"/>
      <w:marRight w:val="0"/>
      <w:marTop w:val="0"/>
      <w:marBottom w:val="0"/>
      <w:divBdr>
        <w:top w:val="none" w:sz="0" w:space="0" w:color="auto"/>
        <w:left w:val="none" w:sz="0" w:space="0" w:color="auto"/>
        <w:bottom w:val="none" w:sz="0" w:space="0" w:color="auto"/>
        <w:right w:val="none" w:sz="0" w:space="0" w:color="auto"/>
      </w:divBdr>
    </w:div>
    <w:div w:id="1463692790">
      <w:bodyDiv w:val="1"/>
      <w:marLeft w:val="0"/>
      <w:marRight w:val="0"/>
      <w:marTop w:val="0"/>
      <w:marBottom w:val="0"/>
      <w:divBdr>
        <w:top w:val="none" w:sz="0" w:space="0" w:color="auto"/>
        <w:left w:val="none" w:sz="0" w:space="0" w:color="auto"/>
        <w:bottom w:val="none" w:sz="0" w:space="0" w:color="auto"/>
        <w:right w:val="none" w:sz="0" w:space="0" w:color="auto"/>
      </w:divBdr>
    </w:div>
    <w:div w:id="1677615358">
      <w:bodyDiv w:val="1"/>
      <w:marLeft w:val="0"/>
      <w:marRight w:val="0"/>
      <w:marTop w:val="0"/>
      <w:marBottom w:val="0"/>
      <w:divBdr>
        <w:top w:val="none" w:sz="0" w:space="0" w:color="auto"/>
        <w:left w:val="none" w:sz="0" w:space="0" w:color="auto"/>
        <w:bottom w:val="none" w:sz="0" w:space="0" w:color="auto"/>
        <w:right w:val="none" w:sz="0" w:space="0" w:color="auto"/>
      </w:divBdr>
    </w:div>
    <w:div w:id="1831821730">
      <w:bodyDiv w:val="1"/>
      <w:marLeft w:val="0"/>
      <w:marRight w:val="0"/>
      <w:marTop w:val="0"/>
      <w:marBottom w:val="0"/>
      <w:divBdr>
        <w:top w:val="none" w:sz="0" w:space="0" w:color="auto"/>
        <w:left w:val="none" w:sz="0" w:space="0" w:color="auto"/>
        <w:bottom w:val="none" w:sz="0" w:space="0" w:color="auto"/>
        <w:right w:val="none" w:sz="0" w:space="0" w:color="auto"/>
      </w:divBdr>
    </w:div>
    <w:div w:id="1900554706">
      <w:bodyDiv w:val="1"/>
      <w:marLeft w:val="0"/>
      <w:marRight w:val="0"/>
      <w:marTop w:val="0"/>
      <w:marBottom w:val="0"/>
      <w:divBdr>
        <w:top w:val="none" w:sz="0" w:space="0" w:color="auto"/>
        <w:left w:val="none" w:sz="0" w:space="0" w:color="auto"/>
        <w:bottom w:val="none" w:sz="0" w:space="0" w:color="auto"/>
        <w:right w:val="none" w:sz="0" w:space="0" w:color="auto"/>
      </w:divBdr>
    </w:div>
    <w:div w:id="1956212396">
      <w:bodyDiv w:val="1"/>
      <w:marLeft w:val="0"/>
      <w:marRight w:val="0"/>
      <w:marTop w:val="0"/>
      <w:marBottom w:val="0"/>
      <w:divBdr>
        <w:top w:val="none" w:sz="0" w:space="0" w:color="auto"/>
        <w:left w:val="none" w:sz="0" w:space="0" w:color="auto"/>
        <w:bottom w:val="none" w:sz="0" w:space="0" w:color="auto"/>
        <w:right w:val="none" w:sz="0" w:space="0" w:color="auto"/>
      </w:divBdr>
      <w:divsChild>
        <w:div w:id="1774401589">
          <w:marLeft w:val="274"/>
          <w:marRight w:val="0"/>
          <w:marTop w:val="0"/>
          <w:marBottom w:val="0"/>
          <w:divBdr>
            <w:top w:val="none" w:sz="0" w:space="0" w:color="auto"/>
            <w:left w:val="none" w:sz="0" w:space="0" w:color="auto"/>
            <w:bottom w:val="none" w:sz="0" w:space="0" w:color="auto"/>
            <w:right w:val="none" w:sz="0" w:space="0" w:color="auto"/>
          </w:divBdr>
        </w:div>
      </w:divsChild>
    </w:div>
    <w:div w:id="1959558640">
      <w:bodyDiv w:val="1"/>
      <w:marLeft w:val="0"/>
      <w:marRight w:val="0"/>
      <w:marTop w:val="0"/>
      <w:marBottom w:val="0"/>
      <w:divBdr>
        <w:top w:val="none" w:sz="0" w:space="0" w:color="auto"/>
        <w:left w:val="none" w:sz="0" w:space="0" w:color="auto"/>
        <w:bottom w:val="none" w:sz="0" w:space="0" w:color="auto"/>
        <w:right w:val="none" w:sz="0" w:space="0" w:color="auto"/>
      </w:divBdr>
    </w:div>
    <w:div w:id="2081902344">
      <w:bodyDiv w:val="1"/>
      <w:marLeft w:val="0"/>
      <w:marRight w:val="0"/>
      <w:marTop w:val="0"/>
      <w:marBottom w:val="0"/>
      <w:divBdr>
        <w:top w:val="none" w:sz="0" w:space="0" w:color="auto"/>
        <w:left w:val="none" w:sz="0" w:space="0" w:color="auto"/>
        <w:bottom w:val="none" w:sz="0" w:space="0" w:color="auto"/>
        <w:right w:val="none" w:sz="0" w:space="0" w:color="auto"/>
      </w:divBdr>
      <w:divsChild>
        <w:div w:id="862128546">
          <w:marLeft w:val="0"/>
          <w:marRight w:val="0"/>
          <w:marTop w:val="0"/>
          <w:marBottom w:val="0"/>
          <w:divBdr>
            <w:top w:val="none" w:sz="0" w:space="0" w:color="auto"/>
            <w:left w:val="none" w:sz="0" w:space="0" w:color="auto"/>
            <w:bottom w:val="none" w:sz="0" w:space="0" w:color="auto"/>
            <w:right w:val="none" w:sz="0" w:space="0" w:color="auto"/>
          </w:divBdr>
          <w:divsChild>
            <w:div w:id="17994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ynparzahc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RN Storyboard Template">
      <a:dk1>
        <a:srgbClr val="041726"/>
      </a:dk1>
      <a:lt1>
        <a:srgbClr val="E6EBEF"/>
      </a:lt1>
      <a:dk2>
        <a:srgbClr val="324C61"/>
      </a:dk2>
      <a:lt2>
        <a:srgbClr val="829BAD"/>
      </a:lt2>
      <a:accent1>
        <a:srgbClr val="D30000"/>
      </a:accent1>
      <a:accent2>
        <a:srgbClr val="565ADD"/>
      </a:accent2>
      <a:accent3>
        <a:srgbClr val="00A3AD"/>
      </a:accent3>
      <a:accent4>
        <a:srgbClr val="003399"/>
      </a:accent4>
      <a:accent5>
        <a:srgbClr val="000000"/>
      </a:accent5>
      <a:accent6>
        <a:srgbClr val="FFFFFF"/>
      </a:accent6>
      <a:hlink>
        <a:srgbClr val="0563C1"/>
      </a:hlink>
      <a:folHlink>
        <a:srgbClr val="954F72"/>
      </a:folHlink>
    </a:clrScheme>
    <a:fontScheme name="RN Storyboard Template">
      <a:majorFont>
        <a:latin typeface="Karla"/>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7612d6-afa9-43f3-b030-bc1d1f94b745">
      <Terms xmlns="http://schemas.microsoft.com/office/infopath/2007/PartnerControls"/>
    </lcf76f155ced4ddcb4097134ff3c332f>
    <TaxCatchAll xmlns="72280e7f-7c4b-427b-aa9a-e0a472190a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54F6FC3741E442B3559C147FF02450" ma:contentTypeVersion="11" ma:contentTypeDescription="Create a new document." ma:contentTypeScope="" ma:versionID="57c60dfaaab657aedb82986330da1d38">
  <xsd:schema xmlns:xsd="http://www.w3.org/2001/XMLSchema" xmlns:xs="http://www.w3.org/2001/XMLSchema" xmlns:p="http://schemas.microsoft.com/office/2006/metadata/properties" xmlns:ns2="907612d6-afa9-43f3-b030-bc1d1f94b745" xmlns:ns3="72280e7f-7c4b-427b-aa9a-e0a472190acc" targetNamespace="http://schemas.microsoft.com/office/2006/metadata/properties" ma:root="true" ma:fieldsID="33f0d2a6677f3ebe74dd6bdc059b5c4a" ns2:_="" ns3:_="">
    <xsd:import namespace="907612d6-afa9-43f3-b030-bc1d1f94b745"/>
    <xsd:import namespace="72280e7f-7c4b-427b-aa9a-e0a472190a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612d6-afa9-43f3-b030-bc1d1f94b74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3d42b1d-48c7-46d9-9c77-f823453947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80e7f-7c4b-427b-aa9a-e0a472190a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1bed1c-8dd2-450b-a29b-4ae83a20ba38}" ma:internalName="TaxCatchAll" ma:showField="CatchAllData" ma:web="72280e7f-7c4b-427b-aa9a-e0a472190a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44B02-1ADE-4E6B-9CAC-778B68AF041B}">
  <ds:schemaRefs>
    <ds:schemaRef ds:uri="http://schemas.openxmlformats.org/officeDocument/2006/bibliography"/>
  </ds:schemaRefs>
</ds:datastoreItem>
</file>

<file path=customXml/itemProps2.xml><?xml version="1.0" encoding="utf-8"?>
<ds:datastoreItem xmlns:ds="http://schemas.openxmlformats.org/officeDocument/2006/customXml" ds:itemID="{97EC3015-33FE-4C51-B78F-BCF110DE401D}">
  <ds:schemaRefs>
    <ds:schemaRef ds:uri="http://schemas.microsoft.com/office/2006/metadata/properties"/>
    <ds:schemaRef ds:uri="http://schemas.microsoft.com/office/infopath/2007/PartnerControls"/>
    <ds:schemaRef ds:uri="108345fe-0c92-4753-8209-69ef00914fe2"/>
    <ds:schemaRef ds:uri="a4347c88-2543-421b-a38c-9d03b882c579"/>
    <ds:schemaRef ds:uri="907612d6-afa9-43f3-b030-bc1d1f94b745"/>
    <ds:schemaRef ds:uri="72280e7f-7c4b-427b-aa9a-e0a472190acc"/>
  </ds:schemaRefs>
</ds:datastoreItem>
</file>

<file path=customXml/itemProps3.xml><?xml version="1.0" encoding="utf-8"?>
<ds:datastoreItem xmlns:ds="http://schemas.openxmlformats.org/officeDocument/2006/customXml" ds:itemID="{9CCF1FEC-C5D9-4401-8A1E-BDB59EA82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612d6-afa9-43f3-b030-bc1d1f94b745"/>
    <ds:schemaRef ds:uri="72280e7f-7c4b-427b-aa9a-e0a472190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788F6-670D-4B60-86DA-40D557E7B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3424</Words>
  <Characters>20417</Characters>
  <Application>Microsoft Office Word</Application>
  <DocSecurity>0</DocSecurity>
  <Lines>583</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23475</CharactersWithSpaces>
  <SharedDoc>false</SharedDoc>
  <HLinks>
    <vt:vector size="24" baseType="variant">
      <vt:variant>
        <vt:i4>327719</vt:i4>
      </vt:variant>
      <vt:variant>
        <vt:i4>9</vt:i4>
      </vt:variant>
      <vt:variant>
        <vt:i4>0</vt:i4>
      </vt:variant>
      <vt:variant>
        <vt:i4>5</vt:i4>
      </vt:variant>
      <vt:variant>
        <vt:lpwstr>mailto:ABBATA02@pfizer.com</vt:lpwstr>
      </vt:variant>
      <vt:variant>
        <vt:lpwstr/>
      </vt:variant>
      <vt:variant>
        <vt:i4>327719</vt:i4>
      </vt:variant>
      <vt:variant>
        <vt:i4>6</vt:i4>
      </vt:variant>
      <vt:variant>
        <vt:i4>0</vt:i4>
      </vt:variant>
      <vt:variant>
        <vt:i4>5</vt:i4>
      </vt:variant>
      <vt:variant>
        <vt:lpwstr>mailto:ABBATA02@pfizer.com</vt:lpwstr>
      </vt:variant>
      <vt:variant>
        <vt:lpwstr/>
      </vt:variant>
      <vt:variant>
        <vt:i4>983089</vt:i4>
      </vt:variant>
      <vt:variant>
        <vt:i4>3</vt:i4>
      </vt:variant>
      <vt:variant>
        <vt:i4>0</vt:i4>
      </vt:variant>
      <vt:variant>
        <vt:i4>5</vt:i4>
      </vt:variant>
      <vt:variant>
        <vt:lpwstr>mailto:SHAHP62@pfizer.com</vt:lpwstr>
      </vt:variant>
      <vt:variant>
        <vt:lpwstr/>
      </vt:variant>
      <vt:variant>
        <vt:i4>3538949</vt:i4>
      </vt:variant>
      <vt:variant>
        <vt:i4>0</vt:i4>
      </vt:variant>
      <vt:variant>
        <vt:i4>0</vt:i4>
      </vt:variant>
      <vt:variant>
        <vt:i4>5</vt:i4>
      </vt:variant>
      <vt:variant>
        <vt:lpwstr>mailto:KULISN@pfizer.com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Barany, Ingrid</dc:creator>
  <cp:keywords/>
  <dc:description/>
  <cp:lastModifiedBy>Jabour, Joe</cp:lastModifiedBy>
  <cp:revision>3</cp:revision>
  <dcterms:created xsi:type="dcterms:W3CDTF">2024-11-19T17:24:00Z</dcterms:created>
  <dcterms:modified xsi:type="dcterms:W3CDTF">2024-11-19T17:40:00Z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0x01010051D8468F04BA204BBEE6B68C6984EA75</vt:lpwstr>
  </property>
  <property fmtid="{D5CDD505-2E9C-101B-9397-08002B2CF9AE}" pid="3" name="MSIP_Label_4791b42f-c435-42ca-9531-75a3f42aae3d_Enabled">
    <vt:lpwstr>true</vt:lpwstr>
  </property>
  <property fmtid="{D5CDD505-2E9C-101B-9397-08002B2CF9AE}" pid="4" name="MSIP_Label_4791b42f-c435-42ca-9531-75a3f42aae3d_SetDate">
    <vt:lpwstr>2023-07-17T13:36:42Z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74651e90-153b-4ae4-bdd0-a38a5dfbd30e</vt:lpwstr>
  </property>
  <property fmtid="{D5CDD505-2E9C-101B-9397-08002B2CF9AE}" pid="9" name="MSIP_Label_4791b42f-c435-42ca-9531-75a3f42aae3d_ContentBits">
    <vt:lpwstr>0</vt:lpwstr>
  </property>
  <property fmtid="{D5CDD505-2E9C-101B-9397-08002B2CF9AE}" pid="10" name="GrammarlyDocumentId">
    <vt:lpwstr>694e7543395db22ec935c7633caff1f1082318ed2e7dfae51fd2234f68d0f43f</vt:lpwstr>
  </property>
  <property fmtid="{D5CDD505-2E9C-101B-9397-08002B2CF9AE}" pid="11" name="MSIP_Label_d9088468-0951-4aef-9cc3-0a346e475ddc_Enabled">
    <vt:lpwstr>true</vt:lpwstr>
  </property>
  <property fmtid="{D5CDD505-2E9C-101B-9397-08002B2CF9AE}" pid="12" name="MSIP_Label_d9088468-0951-4aef-9cc3-0a346e475ddc_SetDate">
    <vt:lpwstr>2023-12-06T15:48:03Z</vt:lpwstr>
  </property>
  <property fmtid="{D5CDD505-2E9C-101B-9397-08002B2CF9AE}" pid="13" name="MSIP_Label_d9088468-0951-4aef-9cc3-0a346e475ddc_Method">
    <vt:lpwstr>Privileged</vt:lpwstr>
  </property>
  <property fmtid="{D5CDD505-2E9C-101B-9397-08002B2CF9AE}" pid="14" name="MSIP_Label_d9088468-0951-4aef-9cc3-0a346e475ddc_Name">
    <vt:lpwstr>Public</vt:lpwstr>
  </property>
  <property fmtid="{D5CDD505-2E9C-101B-9397-08002B2CF9AE}" pid="15" name="MSIP_Label_d9088468-0951-4aef-9cc3-0a346e475ddc_SiteId">
    <vt:lpwstr>aca3c8d6-aa71-4e1a-a10e-03572fc58c0b</vt:lpwstr>
  </property>
  <property fmtid="{D5CDD505-2E9C-101B-9397-08002B2CF9AE}" pid="16" name="MSIP_Label_d9088468-0951-4aef-9cc3-0a346e475ddc_ActionId">
    <vt:lpwstr>4f400035-face-4adf-ac0b-109b2a64abf0</vt:lpwstr>
  </property>
  <property fmtid="{D5CDD505-2E9C-101B-9397-08002B2CF9AE}" pid="17" name="MSIP_Label_d9088468-0951-4aef-9cc3-0a346e475ddc_ContentBits">
    <vt:lpwstr>0</vt:lpwstr>
  </property>
  <property fmtid="{D5CDD505-2E9C-101B-9397-08002B2CF9AE}" pid="18" name="MediaServiceImageTags">
    <vt:lpwstr/>
  </property>
</Properties>
</file>